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44"/>
          <w:szCs w:val="44"/>
        </w:rPr>
      </w:pPr>
      <w:bookmarkStart w:id="47" w:name="_GoBack"/>
      <w:bookmarkEnd w:id="47"/>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44"/>
          <w:szCs w:val="44"/>
        </w:rPr>
      </w:pPr>
    </w:p>
    <w:p>
      <w:pPr>
        <w:pageBreakBefore w:val="0"/>
        <w:numPr>
          <w:ilvl w:val="0"/>
          <w:numId w:val="0"/>
        </w:numPr>
        <w:pBdr>
          <w:top w:val="none" w:color="auto" w:sz="0" w:space="0"/>
          <w:left w:val="none" w:color="auto" w:sz="0" w:space="0"/>
          <w:bottom w:val="none" w:color="auto" w:sz="0" w:space="0"/>
          <w:right w:val="none" w:color="auto" w:sz="0" w:space="0"/>
          <w:between w:val="none" w:color="auto" w:sz="0" w:space="0"/>
        </w:pBdr>
        <w:autoSpaceDE/>
        <w:autoSpaceDN/>
        <w:bidi w:val="0"/>
        <w:snapToGrid/>
        <w:spacing w:before="0" w:after="0" w:line="360" w:lineRule="auto"/>
        <w:ind w:right="0" w:firstLine="0"/>
        <w:jc w:val="center"/>
        <w:rPr>
          <w:rFonts w:hint="default" w:ascii="宋体" w:hAnsi="宋体" w:eastAsia="宋体"/>
          <w:b/>
          <w:color w:val="auto"/>
          <w:position w:val="0"/>
          <w:sz w:val="44"/>
          <w:szCs w:val="44"/>
        </w:rPr>
      </w:pPr>
      <w:r>
        <w:rPr>
          <w:rFonts w:hint="eastAsia" w:ascii="宋体" w:hAnsi="宋体" w:eastAsia="宋体"/>
          <w:b/>
          <w:color w:val="auto"/>
          <w:position w:val="0"/>
          <w:sz w:val="44"/>
          <w:szCs w:val="44"/>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44"/>
          <w:szCs w:val="44"/>
          <w:lang w:eastAsia="zh-CN"/>
        </w:rPr>
      </w:pPr>
      <w:r>
        <w:rPr>
          <w:rFonts w:hint="eastAsia" w:ascii="宋体" w:hAnsi="宋体" w:eastAsia="宋体"/>
          <w:b/>
          <w:color w:val="auto"/>
          <w:position w:val="0"/>
          <w:sz w:val="44"/>
          <w:szCs w:val="44"/>
          <w:lang w:val="en-US" w:eastAsia="zh-CN"/>
        </w:rPr>
        <w:t>年产40吨发制品项目 （一期）</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r>
        <w:rPr>
          <w:rFonts w:hint="default" w:ascii="宋体" w:hAnsi="宋体" w:eastAsia="宋体"/>
          <w:b/>
          <w:color w:val="auto"/>
          <w:position w:val="0"/>
          <w:sz w:val="44"/>
          <w:szCs w:val="44"/>
        </w:rPr>
        <w:t>竣工环境保护验收监测报告</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30"/>
          <w:szCs w:val="30"/>
          <w:lang w:eastAsia="zh-CN"/>
        </w:rPr>
      </w:pPr>
      <w:r>
        <w:rPr>
          <w:rFonts w:hint="default" w:ascii="宋体" w:hAnsi="宋体" w:eastAsia="宋体"/>
          <w:b/>
          <w:color w:val="auto"/>
          <w:position w:val="0"/>
          <w:sz w:val="30"/>
          <w:szCs w:val="30"/>
        </w:rPr>
        <w:t>建设单位:</w:t>
      </w:r>
      <w:r>
        <w:rPr>
          <w:rFonts w:hint="eastAsia" w:ascii="宋体" w:hAnsi="宋体" w:eastAsia="宋体"/>
          <w:b/>
          <w:color w:val="auto"/>
          <w:position w:val="0"/>
          <w:sz w:val="30"/>
          <w:szCs w:val="30"/>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30"/>
          <w:szCs w:val="30"/>
          <w:lang w:eastAsia="zh-CN"/>
        </w:rPr>
      </w:pPr>
      <w:r>
        <w:rPr>
          <w:rFonts w:hint="default" w:ascii="宋体" w:hAnsi="宋体" w:eastAsia="宋体"/>
          <w:b/>
          <w:color w:val="auto"/>
          <w:position w:val="0"/>
          <w:sz w:val="30"/>
          <w:szCs w:val="30"/>
        </w:rPr>
        <w:t>编制单位:</w:t>
      </w:r>
      <w:r>
        <w:rPr>
          <w:rFonts w:hint="eastAsia" w:ascii="宋体" w:hAnsi="宋体" w:eastAsia="宋体"/>
          <w:b/>
          <w:color w:val="auto"/>
          <w:position w:val="0"/>
          <w:sz w:val="30"/>
          <w:szCs w:val="30"/>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44"/>
          <w:szCs w:val="44"/>
        </w:rPr>
      </w:pPr>
      <w:r>
        <w:rPr>
          <w:rFonts w:hint="default" w:ascii="宋体" w:hAnsi="宋体" w:eastAsia="宋体"/>
          <w:b/>
          <w:color w:val="auto"/>
          <w:position w:val="0"/>
          <w:sz w:val="30"/>
          <w:szCs w:val="30"/>
        </w:rPr>
        <w:t>二O一九年</w:t>
      </w:r>
      <w:r>
        <w:rPr>
          <w:rFonts w:hint="eastAsia" w:ascii="宋体" w:hAnsi="宋体" w:eastAsia="宋体"/>
          <w:b/>
          <w:color w:val="auto"/>
          <w:position w:val="0"/>
          <w:sz w:val="30"/>
          <w:szCs w:val="30"/>
          <w:lang w:val="en-US" w:eastAsia="zh-CN"/>
        </w:rPr>
        <w:t>八</w:t>
      </w:r>
      <w:r>
        <w:rPr>
          <w:rFonts w:hint="default" w:ascii="宋体" w:hAnsi="宋体" w:eastAsia="宋体"/>
          <w:b/>
          <w:color w:val="auto"/>
          <w:position w:val="0"/>
          <w:sz w:val="30"/>
          <w:szCs w:val="30"/>
        </w:rPr>
        <w:t>月</w:t>
      </w:r>
    </w:p>
    <w:p>
      <w:pPr>
        <w:pageBreakBefore w:val="0"/>
        <w:numPr>
          <w:ilvl w:val="0"/>
          <w:numId w:val="0"/>
        </w:numPr>
        <w:autoSpaceDE/>
        <w:autoSpaceDN/>
        <w:bidi w:val="0"/>
        <w:snapToGrid/>
        <w:spacing w:before="0" w:after="0" w:line="360" w:lineRule="auto"/>
        <w:ind w:right="0" w:firstLine="0"/>
        <w:jc w:val="center"/>
        <w:outlineLvl w:val="0"/>
        <w:rPr>
          <w:rFonts w:hint="default" w:ascii="宋体" w:hAnsi="宋体" w:eastAsia="宋体"/>
          <w:b/>
          <w:color w:val="auto"/>
          <w:position w:val="0"/>
          <w:sz w:val="44"/>
          <w:szCs w:val="44"/>
        </w:rPr>
      </w:pPr>
      <w:bookmarkStart w:id="0" w:name="_Toc4798"/>
      <w:bookmarkStart w:id="1" w:name="_Toc31038"/>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44"/>
          <w:szCs w:val="44"/>
          <w:lang w:eastAsia="zh-CN"/>
        </w:rPr>
      </w:pPr>
      <w:r>
        <w:rPr>
          <w:rFonts w:hint="eastAsia" w:ascii="宋体" w:hAnsi="宋体" w:eastAsia="宋体"/>
          <w:b/>
          <w:color w:val="auto"/>
          <w:position w:val="0"/>
          <w:sz w:val="44"/>
          <w:szCs w:val="44"/>
          <w:lang w:val="en-US" w:eastAsia="zh-CN"/>
        </w:rPr>
        <w:t xml:space="preserve">年产40吨发制品项目 </w:t>
      </w:r>
    </w:p>
    <w:p>
      <w:pPr>
        <w:pageBreakBefore w:val="0"/>
        <w:numPr>
          <w:ilvl w:val="0"/>
          <w:numId w:val="0"/>
        </w:numPr>
        <w:autoSpaceDE/>
        <w:autoSpaceDN/>
        <w:bidi w:val="0"/>
        <w:snapToGrid/>
        <w:spacing w:before="0" w:after="0" w:line="360" w:lineRule="auto"/>
        <w:ind w:right="0" w:firstLine="0"/>
        <w:jc w:val="center"/>
        <w:outlineLvl w:val="0"/>
        <w:rPr>
          <w:rFonts w:hint="default" w:ascii="宋体" w:hAnsi="宋体" w:eastAsia="宋体"/>
          <w:color w:val="auto"/>
          <w:position w:val="0"/>
          <w:sz w:val="44"/>
          <w:szCs w:val="44"/>
        </w:rPr>
      </w:pPr>
      <w:r>
        <w:rPr>
          <w:rFonts w:hint="default" w:ascii="宋体" w:hAnsi="宋体" w:eastAsia="宋体"/>
          <w:b/>
          <w:color w:val="auto"/>
          <w:position w:val="0"/>
          <w:sz w:val="44"/>
          <w:szCs w:val="44"/>
        </w:rPr>
        <w:t>竣工环境保护验收监测报告表</w:t>
      </w:r>
      <w:bookmarkEnd w:id="0"/>
      <w:bookmarkEnd w:id="1"/>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30"/>
          <w:szCs w:val="30"/>
          <w:lang w:eastAsia="zh-CN"/>
        </w:rPr>
      </w:pPr>
      <w:r>
        <w:rPr>
          <w:rFonts w:hint="default" w:ascii="宋体" w:hAnsi="宋体" w:eastAsia="宋体"/>
          <w:b/>
          <w:color w:val="auto"/>
          <w:position w:val="0"/>
          <w:sz w:val="30"/>
          <w:szCs w:val="30"/>
        </w:rPr>
        <w:t>建设单位:</w:t>
      </w:r>
      <w:r>
        <w:rPr>
          <w:rFonts w:hint="eastAsia" w:ascii="宋体" w:hAnsi="宋体" w:eastAsia="宋体"/>
          <w:b/>
          <w:color w:val="auto"/>
          <w:position w:val="0"/>
          <w:sz w:val="30"/>
          <w:szCs w:val="30"/>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30"/>
          <w:szCs w:val="30"/>
        </w:rPr>
      </w:pPr>
      <w:r>
        <w:rPr>
          <w:rFonts w:hint="default" w:ascii="宋体" w:hAnsi="宋体" w:eastAsia="宋体"/>
          <w:b/>
          <w:color w:val="auto"/>
          <w:position w:val="0"/>
          <w:sz w:val="30"/>
          <w:szCs w:val="30"/>
        </w:rPr>
        <w:t>编制单位:</w:t>
      </w:r>
      <w:r>
        <w:rPr>
          <w:rFonts w:hint="eastAsia" w:ascii="宋体" w:hAnsi="宋体" w:eastAsia="宋体"/>
          <w:b/>
          <w:color w:val="auto"/>
          <w:position w:val="0"/>
          <w:sz w:val="30"/>
          <w:szCs w:val="30"/>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30"/>
          <w:szCs w:val="30"/>
        </w:rPr>
      </w:pPr>
      <w:r>
        <w:rPr>
          <w:rFonts w:hint="default" w:ascii="宋体" w:hAnsi="宋体" w:eastAsia="宋体"/>
          <w:b/>
          <w:color w:val="auto"/>
          <w:position w:val="0"/>
          <w:sz w:val="30"/>
          <w:szCs w:val="30"/>
        </w:rPr>
        <w:t>二O一九年</w:t>
      </w:r>
      <w:r>
        <w:rPr>
          <w:rFonts w:hint="eastAsia" w:ascii="宋体" w:hAnsi="宋体" w:eastAsia="宋体"/>
          <w:b/>
          <w:color w:val="auto"/>
          <w:position w:val="0"/>
          <w:sz w:val="30"/>
          <w:szCs w:val="30"/>
          <w:lang w:val="en-US" w:eastAsia="zh-CN"/>
        </w:rPr>
        <w:t>八</w:t>
      </w:r>
      <w:r>
        <w:rPr>
          <w:rFonts w:hint="default" w:ascii="宋体" w:hAnsi="宋体" w:eastAsia="宋体"/>
          <w:b/>
          <w:color w:val="auto"/>
          <w:position w:val="0"/>
          <w:sz w:val="30"/>
          <w:szCs w:val="30"/>
        </w:rPr>
        <w:t>月</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sectPr>
          <w:footerReference r:id="rId3" w:type="default"/>
          <w:pgSz w:w="11906" w:h="16838"/>
          <w:pgMar w:top="1440" w:right="1800" w:bottom="1440" w:left="1800" w:header="708" w:footer="708" w:gutter="0"/>
          <w:pgNumType w:fmt="upperRoman" w:start="1"/>
          <w:docGrid w:linePitch="360" w:charSpace="0"/>
        </w:sectPr>
      </w:pPr>
    </w:p>
    <w:p>
      <w:pPr>
        <w:pStyle w:val="40"/>
        <w:numPr>
          <w:ilvl w:val="0"/>
          <w:numId w:val="0"/>
        </w:numPr>
        <w:autoSpaceDE w:val="0"/>
        <w:autoSpaceDN w:val="0"/>
        <w:spacing w:before="0" w:after="160" w:line="240" w:lineRule="auto"/>
        <w:ind w:right="0" w:firstLine="0"/>
        <w:jc w:val="left"/>
        <w:rPr>
          <w:rFonts w:hint="default" w:ascii="宋体" w:hAnsi="宋体" w:eastAsia="宋体"/>
          <w:color w:val="000000"/>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b/>
          <w:color w:val="auto"/>
          <w:position w:val="0"/>
          <w:sz w:val="24"/>
          <w:szCs w:val="24"/>
        </w:rPr>
        <w:t>建设单位法人代表:</w:t>
      </w:r>
      <w:r>
        <w:rPr>
          <w:rFonts w:hint="default" w:ascii="宋体" w:hAnsi="宋体" w:eastAsia="宋体"/>
          <w:color w:val="auto"/>
          <w:position w:val="0"/>
          <w:sz w:val="24"/>
          <w:szCs w:val="24"/>
        </w:rPr>
        <w:tab/>
      </w:r>
      <w:r>
        <w:rPr>
          <w:rFonts w:hint="default" w:ascii="宋体" w:hAnsi="宋体" w:eastAsia="宋体"/>
          <w:color w:val="auto"/>
          <w:position w:val="0"/>
          <w:sz w:val="24"/>
          <w:szCs w:val="24"/>
        </w:rPr>
        <w:t xml:space="preserve"> </w:t>
      </w:r>
      <w:r>
        <w:rPr>
          <w:rFonts w:hint="eastAsia" w:ascii="宋体" w:hAnsi="宋体" w:eastAsia="宋体"/>
          <w:color w:val="auto"/>
          <w:position w:val="0"/>
          <w:sz w:val="24"/>
          <w:szCs w:val="24"/>
          <w:lang w:val="en-US" w:eastAsia="zh-CN"/>
        </w:rPr>
        <w:t>刘艳</w:t>
      </w:r>
      <w:r>
        <w:rPr>
          <w:rFonts w:hint="default" w:ascii="宋体" w:hAnsi="宋体" w:eastAsia="宋体"/>
          <w:color w:val="auto"/>
          <w:position w:val="0"/>
          <w:sz w:val="24"/>
          <w:szCs w:val="24"/>
        </w:rPr>
        <w:t xml:space="preserve">         （签字）</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b/>
          <w:color w:val="auto"/>
          <w:position w:val="0"/>
          <w:sz w:val="24"/>
          <w:szCs w:val="24"/>
        </w:rPr>
        <w:t>编制单位法人代表:</w:t>
      </w:r>
      <w:r>
        <w:rPr>
          <w:rFonts w:hint="default" w:ascii="宋体" w:hAnsi="宋体" w:eastAsia="宋体"/>
          <w:color w:val="auto"/>
          <w:position w:val="0"/>
          <w:sz w:val="24"/>
          <w:szCs w:val="24"/>
        </w:rPr>
        <w:tab/>
      </w:r>
      <w:r>
        <w:rPr>
          <w:rFonts w:hint="default" w:ascii="宋体" w:hAnsi="宋体" w:eastAsia="宋体"/>
          <w:color w:val="auto"/>
          <w:position w:val="0"/>
          <w:sz w:val="24"/>
          <w:szCs w:val="24"/>
        </w:rPr>
        <w:t xml:space="preserve"> </w:t>
      </w:r>
      <w:r>
        <w:rPr>
          <w:rFonts w:hint="eastAsia" w:ascii="宋体" w:hAnsi="宋体" w:eastAsia="宋体"/>
          <w:color w:val="auto"/>
          <w:position w:val="0"/>
          <w:sz w:val="24"/>
          <w:szCs w:val="24"/>
          <w:lang w:val="en-US" w:eastAsia="zh-CN"/>
        </w:rPr>
        <w:t>刘艳</w:t>
      </w:r>
      <w:r>
        <w:rPr>
          <w:rFonts w:hint="default" w:ascii="宋体" w:hAnsi="宋体" w:eastAsia="宋体"/>
          <w:color w:val="auto"/>
          <w:position w:val="0"/>
          <w:sz w:val="24"/>
          <w:szCs w:val="24"/>
        </w:rPr>
        <w:t xml:space="preserve">       </w:t>
      </w:r>
      <w:r>
        <w:rPr>
          <w:rFonts w:hint="eastAsia" w:ascii="宋体" w:hAnsi="宋体" w:eastAsia="宋体"/>
          <w:color w:val="auto"/>
          <w:position w:val="0"/>
          <w:sz w:val="24"/>
          <w:szCs w:val="24"/>
          <w:lang w:val="en-US" w:eastAsia="zh-CN"/>
        </w:rPr>
        <w:t xml:space="preserve">  </w:t>
      </w:r>
      <w:r>
        <w:rPr>
          <w:rFonts w:hint="default" w:ascii="宋体" w:hAnsi="宋体" w:eastAsia="宋体"/>
          <w:color w:val="auto"/>
          <w:position w:val="0"/>
          <w:sz w:val="24"/>
          <w:szCs w:val="24"/>
        </w:rPr>
        <w:t>（签字）</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spacing w:val="7"/>
          <w:w w:val="79"/>
          <w:position w:val="0"/>
          <w:sz w:val="24"/>
          <w:szCs w:val="24"/>
        </w:rPr>
      </w:pPr>
      <w:r>
        <w:rPr>
          <w:rFonts w:hint="default" w:ascii="宋体" w:hAnsi="宋体" w:eastAsia="宋体"/>
          <w:b/>
          <w:color w:val="auto"/>
          <w:spacing w:val="20"/>
          <w:w w:val="79"/>
          <w:position w:val="0"/>
          <w:sz w:val="24"/>
          <w:szCs w:val="24"/>
        </w:rPr>
        <w:t>项  目  负 责  人</w:t>
      </w:r>
      <w:r>
        <w:rPr>
          <w:rFonts w:hint="default" w:ascii="宋体" w:hAnsi="宋体" w:eastAsia="宋体"/>
          <w:b/>
          <w:color w:val="auto"/>
          <w:spacing w:val="10"/>
          <w:w w:val="79"/>
          <w:position w:val="0"/>
          <w:sz w:val="24"/>
          <w:szCs w:val="24"/>
        </w:rPr>
        <w:t>:</w:t>
      </w:r>
      <w:r>
        <w:rPr>
          <w:rFonts w:hint="default" w:ascii="宋体" w:hAnsi="宋体" w:eastAsia="宋体"/>
          <w:b/>
          <w:color w:val="auto"/>
          <w:spacing w:val="7"/>
          <w:w w:val="79"/>
          <w:position w:val="0"/>
          <w:sz w:val="24"/>
          <w:szCs w:val="24"/>
        </w:rPr>
        <w:t xml:space="preserve"> </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spacing w:val="7"/>
          <w:w w:val="79"/>
          <w:position w:val="0"/>
          <w:sz w:val="24"/>
          <w:szCs w:val="24"/>
        </w:rPr>
      </w:pPr>
      <w:r>
        <w:rPr>
          <w:rFonts w:hint="default" w:ascii="宋体" w:hAnsi="宋体" w:eastAsia="宋体"/>
          <w:b/>
          <w:color w:val="auto"/>
          <w:spacing w:val="141"/>
          <w:w w:val="79"/>
          <w:position w:val="0"/>
          <w:sz w:val="24"/>
          <w:szCs w:val="24"/>
        </w:rPr>
        <w:t>填表人</w:t>
      </w:r>
      <w:r>
        <w:rPr>
          <w:rFonts w:hint="default" w:ascii="宋体" w:hAnsi="宋体" w:eastAsia="宋体"/>
          <w:b/>
          <w:color w:val="auto"/>
          <w:spacing w:val="2"/>
          <w:w w:val="79"/>
          <w:position w:val="0"/>
          <w:sz w:val="24"/>
          <w:szCs w:val="24"/>
        </w:rPr>
        <w:t>：</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ab/>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tabs>
          <w:tab w:val="left" w:pos="984"/>
        </w:tabs>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ab/>
      </w: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0"/>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ageBreakBefore w:val="0"/>
        <w:numPr>
          <w:ilvl w:val="0"/>
          <w:numId w:val="0"/>
        </w:numPr>
        <w:tabs>
          <w:tab w:val="left" w:pos="984"/>
        </w:tabs>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tbl>
      <w:tblPr>
        <w:tblStyle w:val="34"/>
        <w:tblpPr w:leftFromText="180" w:rightFromText="180" w:vertAnchor="text" w:horzAnchor="page" w:tblpX="1790" w:tblpY="47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eastAsia="zh-CN"/>
              </w:rPr>
            </w:pPr>
            <w:r>
              <w:rPr>
                <w:rFonts w:hint="default" w:ascii="宋体" w:hAnsi="宋体" w:eastAsia="宋体"/>
                <w:color w:val="auto"/>
                <w:position w:val="0"/>
                <w:sz w:val="24"/>
                <w:szCs w:val="24"/>
              </w:rPr>
              <w:t>建设单位：</w:t>
            </w:r>
            <w:bookmarkStart w:id="2" w:name="_Hlk520296673"/>
            <w:r>
              <w:rPr>
                <w:rFonts w:hint="eastAsia" w:ascii="宋体" w:hAnsi="宋体" w:eastAsia="宋体"/>
                <w:color w:val="auto"/>
                <w:position w:val="0"/>
                <w:sz w:val="24"/>
                <w:szCs w:val="24"/>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（盖章）</w:t>
            </w:r>
            <w:bookmarkEnd w:id="2"/>
          </w:p>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val="en-US" w:eastAsia="zh-CN"/>
              </w:rPr>
            </w:pPr>
            <w:r>
              <w:rPr>
                <w:rFonts w:hint="default" w:ascii="宋体" w:hAnsi="宋体" w:eastAsia="宋体"/>
                <w:color w:val="auto"/>
                <w:position w:val="0"/>
                <w:sz w:val="24"/>
                <w:szCs w:val="24"/>
              </w:rPr>
              <w:t>电话:</w:t>
            </w:r>
            <w:r>
              <w:rPr>
                <w:rFonts w:hint="eastAsia" w:ascii="宋体" w:hAnsi="宋体" w:eastAsia="宋体"/>
                <w:color w:val="auto"/>
                <w:position w:val="0"/>
                <w:sz w:val="24"/>
                <w:szCs w:val="24"/>
                <w:lang w:val="en-US" w:eastAsia="zh-CN"/>
              </w:rPr>
              <w:t>18653003222</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邮编:274</w:t>
            </w:r>
            <w:r>
              <w:rPr>
                <w:rFonts w:hint="eastAsia" w:ascii="宋体" w:hAnsi="宋体" w:eastAsia="宋体"/>
                <w:color w:val="auto"/>
                <w:position w:val="0"/>
                <w:sz w:val="24"/>
                <w:szCs w:val="24"/>
                <w:lang w:val="en-US" w:eastAsia="zh-CN"/>
              </w:rPr>
              <w:t>6</w:t>
            </w:r>
            <w:r>
              <w:rPr>
                <w:rFonts w:hint="default" w:ascii="宋体" w:hAnsi="宋体" w:eastAsia="宋体"/>
                <w:color w:val="auto"/>
                <w:position w:val="0"/>
                <w:sz w:val="24"/>
                <w:szCs w:val="24"/>
              </w:rPr>
              <w:t xml:space="preserve">00   </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lang w:val="en-US" w:eastAsia="zh-CN"/>
              </w:rPr>
            </w:pPr>
            <w:r>
              <w:rPr>
                <w:rFonts w:hint="default" w:ascii="宋体" w:hAnsi="宋体" w:eastAsia="宋体"/>
                <w:color w:val="auto"/>
                <w:position w:val="0"/>
                <w:sz w:val="24"/>
                <w:szCs w:val="24"/>
              </w:rPr>
              <w:t>地址:</w:t>
            </w:r>
            <w:r>
              <w:rPr>
                <w:rFonts w:hint="eastAsia" w:ascii="宋体" w:hAnsi="宋体" w:eastAsia="宋体"/>
                <w:color w:val="auto"/>
                <w:position w:val="0"/>
                <w:sz w:val="24"/>
                <w:szCs w:val="24"/>
                <w:lang w:val="en-US" w:eastAsia="zh-CN"/>
              </w:rPr>
              <w:t>山东省菏泽市鄄城县永定路与北环路交叉口南200米路东</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p>
        </w:tc>
        <w:tc>
          <w:tcPr>
            <w:tcW w:w="4261" w:type="dxa"/>
            <w:vAlign w:val="top"/>
          </w:tcPr>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eastAsia="zh-CN"/>
              </w:rPr>
            </w:pPr>
            <w:r>
              <w:rPr>
                <w:rFonts w:hint="eastAsia" w:ascii="宋体" w:hAnsi="宋体" w:eastAsia="宋体"/>
                <w:color w:val="auto"/>
                <w:position w:val="0"/>
                <w:sz w:val="24"/>
                <w:szCs w:val="24"/>
                <w:lang w:val="en-US" w:eastAsia="zh-CN"/>
              </w:rPr>
              <w:t>编制</w:t>
            </w:r>
            <w:r>
              <w:rPr>
                <w:rFonts w:hint="default" w:ascii="宋体" w:hAnsi="宋体" w:eastAsia="宋体"/>
                <w:color w:val="auto"/>
                <w:position w:val="0"/>
                <w:sz w:val="24"/>
                <w:szCs w:val="24"/>
              </w:rPr>
              <w:t>单位：</w:t>
            </w:r>
            <w:r>
              <w:rPr>
                <w:rFonts w:hint="eastAsia" w:ascii="宋体" w:hAnsi="宋体" w:eastAsia="宋体"/>
                <w:color w:val="auto"/>
                <w:position w:val="0"/>
                <w:sz w:val="24"/>
                <w:szCs w:val="24"/>
                <w:lang w:val="en-US" w:eastAsia="zh-CN"/>
              </w:rPr>
              <w:t>菏泽鼎侨发制品有限公司</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（盖章）</w:t>
            </w:r>
          </w:p>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val="en-US" w:eastAsia="zh-CN"/>
              </w:rPr>
            </w:pPr>
            <w:r>
              <w:rPr>
                <w:rFonts w:hint="default" w:ascii="宋体" w:hAnsi="宋体" w:eastAsia="宋体"/>
                <w:color w:val="auto"/>
                <w:position w:val="0"/>
                <w:sz w:val="24"/>
                <w:szCs w:val="24"/>
              </w:rPr>
              <w:t>电话:</w:t>
            </w:r>
            <w:r>
              <w:rPr>
                <w:rFonts w:hint="eastAsia" w:ascii="宋体" w:hAnsi="宋体" w:eastAsia="宋体"/>
                <w:color w:val="auto"/>
                <w:position w:val="0"/>
                <w:sz w:val="24"/>
                <w:szCs w:val="24"/>
                <w:lang w:val="en-US" w:eastAsia="zh-CN"/>
              </w:rPr>
              <w:t>18653003222</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邮编:274</w:t>
            </w:r>
            <w:r>
              <w:rPr>
                <w:rFonts w:hint="eastAsia" w:ascii="宋体" w:hAnsi="宋体" w:eastAsia="宋体"/>
                <w:color w:val="auto"/>
                <w:position w:val="0"/>
                <w:sz w:val="24"/>
                <w:szCs w:val="24"/>
                <w:lang w:val="en-US" w:eastAsia="zh-CN"/>
              </w:rPr>
              <w:t>6</w:t>
            </w:r>
            <w:r>
              <w:rPr>
                <w:rFonts w:hint="default" w:ascii="宋体" w:hAnsi="宋体" w:eastAsia="宋体"/>
                <w:color w:val="auto"/>
                <w:position w:val="0"/>
                <w:sz w:val="24"/>
                <w:szCs w:val="24"/>
              </w:rPr>
              <w:t xml:space="preserve">00   </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lang w:val="en-US" w:eastAsia="zh-CN"/>
              </w:rPr>
            </w:pPr>
            <w:r>
              <w:rPr>
                <w:rFonts w:hint="default" w:ascii="宋体" w:hAnsi="宋体" w:eastAsia="宋体"/>
                <w:color w:val="auto"/>
                <w:position w:val="0"/>
                <w:sz w:val="24"/>
                <w:szCs w:val="24"/>
              </w:rPr>
              <w:t>地址:</w:t>
            </w:r>
            <w:r>
              <w:rPr>
                <w:rFonts w:hint="eastAsia" w:ascii="宋体" w:hAnsi="宋体" w:eastAsia="宋体"/>
                <w:color w:val="auto"/>
                <w:position w:val="0"/>
                <w:sz w:val="24"/>
                <w:szCs w:val="24"/>
                <w:lang w:val="en-US" w:eastAsia="zh-CN"/>
              </w:rPr>
              <w:t>山东省菏泽市鄄城县永定路与北环路交叉口南200米路东</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 xml:space="preserve">    </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 xml:space="preserve">  </w:t>
            </w:r>
          </w:p>
        </w:tc>
      </w:tr>
    </w:tbl>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sectPr>
          <w:footerReference r:id="rId4" w:type="default"/>
          <w:pgSz w:w="11906" w:h="16838"/>
          <w:pgMar w:top="1440" w:right="1800" w:bottom="1440" w:left="1800" w:header="708" w:footer="708" w:gutter="0"/>
          <w:pgNumType w:fmt="upperRoman"/>
          <w:docGrid w:linePitch="360" w:charSpace="0"/>
        </w:sectPr>
      </w:pPr>
    </w:p>
    <w:p>
      <w:pPr>
        <w:pageBreakBefore w:val="0"/>
        <w:numPr>
          <w:ilvl w:val="0"/>
          <w:numId w:val="0"/>
        </w:numPr>
        <w:autoSpaceDE/>
        <w:autoSpaceDN/>
        <w:bidi w:val="0"/>
        <w:snapToGrid/>
        <w:spacing w:before="0" w:after="0" w:line="360" w:lineRule="auto"/>
        <w:ind w:right="0" w:firstLine="0"/>
        <w:jc w:val="left"/>
        <w:outlineLvl w:val="0"/>
        <w:rPr>
          <w:rFonts w:hint="default" w:ascii="Times New Roman" w:hAnsi="Times New Roman" w:eastAsia="Times New Roman"/>
          <w:b/>
          <w:color w:val="auto"/>
          <w:position w:val="0"/>
          <w:sz w:val="24"/>
          <w:szCs w:val="24"/>
        </w:rPr>
      </w:pPr>
      <w:bookmarkStart w:id="3" w:name="_Toc8126"/>
      <w:r>
        <w:rPr>
          <w:rFonts w:hint="default" w:ascii="Times New Roman" w:hAnsi="Times New Roman" w:eastAsia="Times New Roman"/>
          <w:b/>
          <w:color w:val="auto"/>
          <w:position w:val="0"/>
          <w:sz w:val="24"/>
          <w:szCs w:val="24"/>
        </w:rPr>
        <w:t>表一</w:t>
      </w:r>
      <w:bookmarkEnd w:id="3"/>
    </w:p>
    <w:tbl>
      <w:tblPr>
        <w:tblStyle w:val="33"/>
        <w:tblW w:w="8522"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672"/>
        <w:gridCol w:w="2308"/>
        <w:gridCol w:w="2220"/>
        <w:gridCol w:w="825"/>
        <w:gridCol w:w="679"/>
        <w:gridCol w:w="81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建设项目名称</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eastAsia="zh-CN"/>
              </w:rPr>
            </w:pP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年产40吨发制品项目 （一期）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建设单位名称</w:t>
            </w:r>
          </w:p>
        </w:tc>
        <w:tc>
          <w:tcPr>
            <w:tcW w:w="6850" w:type="dxa"/>
            <w:gridSpan w:val="5"/>
            <w:vAlign w:val="center"/>
          </w:tcPr>
          <w:p>
            <w:pPr>
              <w:pageBreakBefore w:val="0"/>
              <w:numPr>
                <w:ilvl w:val="0"/>
                <w:numId w:val="0"/>
              </w:numPr>
              <w:autoSpaceDE/>
              <w:autoSpaceDN/>
              <w:bidi w:val="0"/>
              <w:snapToGrid/>
              <w:spacing w:before="0" w:after="0" w:line="360" w:lineRule="auto"/>
              <w:ind w:right="0" w:firstLine="1680" w:firstLineChars="700"/>
              <w:jc w:val="both"/>
              <w:rPr>
                <w:rFonts w:hint="default" w:ascii="Times New Roman" w:hAnsi="宋体" w:eastAsia="宋体"/>
                <w:color w:val="auto"/>
                <w:position w:val="0"/>
                <w:sz w:val="24"/>
                <w:szCs w:val="24"/>
              </w:rPr>
            </w:pPr>
            <w:r>
              <w:rPr>
                <w:rFonts w:hint="eastAsia" w:ascii="宋体" w:hAnsi="宋体" w:eastAsia="宋体"/>
                <w:color w:val="auto"/>
                <w:position w:val="0"/>
                <w:sz w:val="24"/>
                <w:szCs w:val="24"/>
                <w:lang w:val="en-US" w:eastAsia="zh-CN"/>
              </w:rPr>
              <w:t>菏泽鼎侨发制品有限公司</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建设项目性质</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Wingdings 2" w:hAnsi="宋体" w:eastAsia="宋体"/>
                <w:color w:val="auto"/>
                <w:position w:val="0"/>
                <w:sz w:val="24"/>
                <w:szCs w:val="24"/>
              </w:rPr>
              <w:t>R</w:t>
            </w:r>
            <w:r>
              <w:rPr>
                <w:rFonts w:hint="default" w:ascii="Times New Roman" w:hAnsi="宋体" w:eastAsia="宋体"/>
                <w:color w:val="auto"/>
                <w:position w:val="0"/>
                <w:sz w:val="24"/>
                <w:szCs w:val="24"/>
              </w:rPr>
              <w:t xml:space="preserve">新建 </w:t>
            </w:r>
            <w:r>
              <w:rPr>
                <w:rFonts w:hint="default" w:ascii="Wingdings 2" w:hAnsi="宋体" w:eastAsia="宋体"/>
                <w:color w:val="auto"/>
                <w:position w:val="0"/>
                <w:sz w:val="24"/>
                <w:szCs w:val="24"/>
              </w:rPr>
              <w:t>£</w:t>
            </w:r>
            <w:r>
              <w:rPr>
                <w:rFonts w:hint="default" w:ascii="Times New Roman" w:hAnsi="宋体" w:eastAsia="宋体"/>
                <w:color w:val="auto"/>
                <w:position w:val="0"/>
                <w:sz w:val="24"/>
                <w:szCs w:val="24"/>
              </w:rPr>
              <w:t xml:space="preserve">改扩建  </w:t>
            </w:r>
            <w:r>
              <w:rPr>
                <w:rFonts w:hint="default" w:ascii="Wingdings 2" w:hAnsi="宋体" w:eastAsia="宋体"/>
                <w:color w:val="auto"/>
                <w:position w:val="0"/>
                <w:sz w:val="24"/>
                <w:szCs w:val="24"/>
              </w:rPr>
              <w:t>£</w:t>
            </w:r>
            <w:r>
              <w:rPr>
                <w:rFonts w:hint="default" w:ascii="Times New Roman" w:hAnsi="宋体" w:eastAsia="宋体"/>
                <w:color w:val="auto"/>
                <w:position w:val="0"/>
                <w:sz w:val="24"/>
                <w:szCs w:val="24"/>
              </w:rPr>
              <w:t xml:space="preserve">技改  </w:t>
            </w:r>
            <w:r>
              <w:rPr>
                <w:rFonts w:hint="default" w:ascii="Wingdings 2" w:hAnsi="宋体" w:eastAsia="宋体"/>
                <w:color w:val="auto"/>
                <w:position w:val="0"/>
                <w:sz w:val="24"/>
                <w:szCs w:val="24"/>
              </w:rPr>
              <w:t>£</w:t>
            </w:r>
            <w:r>
              <w:rPr>
                <w:rFonts w:hint="default" w:ascii="Times New Roman" w:hAnsi="宋体" w:eastAsia="宋体"/>
                <w:color w:val="auto"/>
                <w:position w:val="0"/>
                <w:sz w:val="24"/>
                <w:szCs w:val="24"/>
              </w:rPr>
              <w:t>迁建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建设地点</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auto"/>
                <w:position w:val="0"/>
                <w:sz w:val="24"/>
                <w:szCs w:val="24"/>
              </w:rPr>
            </w:pPr>
            <w:r>
              <w:rPr>
                <w:rFonts w:hint="eastAsia" w:ascii="宋体" w:hAnsi="宋体" w:eastAsia="宋体"/>
                <w:color w:val="auto"/>
                <w:position w:val="0"/>
                <w:sz w:val="24"/>
                <w:szCs w:val="24"/>
                <w:lang w:val="en-US" w:eastAsia="zh-CN"/>
              </w:rPr>
              <w:t>山东省菏泽市鄄城县永定路与北环路交叉口南200米路东</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主要产品名称</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val="en-US" w:eastAsia="zh-CN"/>
              </w:rPr>
            </w:pPr>
            <w:r>
              <w:rPr>
                <w:rFonts w:hint="eastAsia" w:ascii="Times New Roman" w:hAnsi="宋体" w:eastAsia="宋体" w:cs="宋体"/>
                <w:color w:val="auto"/>
                <w:position w:val="0"/>
                <w:sz w:val="24"/>
                <w:szCs w:val="24"/>
                <w:lang w:val="en-US" w:eastAsia="zh-CN"/>
              </w:rPr>
              <w:t>发制品</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设计生产能力</w:t>
            </w:r>
          </w:p>
        </w:tc>
        <w:tc>
          <w:tcPr>
            <w:tcW w:w="6850" w:type="dxa"/>
            <w:gridSpan w:val="5"/>
            <w:shd w:val="clear" w:color="auto" w:fill="auto"/>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C00000"/>
                <w:position w:val="0"/>
                <w:sz w:val="24"/>
                <w:szCs w:val="24"/>
              </w:rPr>
            </w:pPr>
            <w:r>
              <w:rPr>
                <w:rFonts w:hint="eastAsia" w:ascii="Times New Roman" w:hAnsi="宋体" w:eastAsia="宋体" w:cs="宋体"/>
                <w:color w:val="auto"/>
                <w:position w:val="0"/>
                <w:sz w:val="24"/>
                <w:szCs w:val="24"/>
                <w:lang w:val="en-US" w:eastAsia="zh-CN"/>
              </w:rPr>
              <w:t xml:space="preserve">年产40吨发制品项目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实际生产能力</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C00000"/>
                <w:position w:val="0"/>
                <w:sz w:val="24"/>
                <w:szCs w:val="24"/>
              </w:rPr>
            </w:pPr>
            <w:r>
              <w:rPr>
                <w:rFonts w:hint="eastAsia" w:ascii="Times New Roman" w:hAnsi="宋体" w:eastAsia="宋体" w:cs="宋体"/>
                <w:color w:val="auto"/>
                <w:position w:val="0"/>
                <w:sz w:val="24"/>
                <w:szCs w:val="24"/>
                <w:lang w:val="en-US" w:eastAsia="zh-CN"/>
              </w:rPr>
              <w:t xml:space="preserve">年产20吨发制品项目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9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建设项目环评时间</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201</w:t>
            </w:r>
            <w:r>
              <w:rPr>
                <w:rFonts w:hint="eastAsia" w:ascii="Times New Roman" w:hAnsi="宋体" w:eastAsia="宋体"/>
                <w:color w:val="auto"/>
                <w:position w:val="0"/>
                <w:sz w:val="24"/>
                <w:szCs w:val="24"/>
                <w:lang w:val="en-US" w:eastAsia="zh-CN"/>
              </w:rPr>
              <w:t>9.9</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开工建设时间</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2019.11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调试时间</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2019</w:t>
            </w:r>
            <w:r>
              <w:rPr>
                <w:rFonts w:hint="eastAsia" w:ascii="Times New Roman" w:hAnsi="宋体" w:eastAsia="宋体"/>
                <w:color w:val="auto"/>
                <w:position w:val="0"/>
                <w:sz w:val="24"/>
                <w:szCs w:val="24"/>
                <w:lang w:val="en-US" w:eastAsia="zh-CN"/>
              </w:rPr>
              <w:t>.11</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验收现场监测时间</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2019.</w:t>
            </w:r>
            <w:r>
              <w:rPr>
                <w:rFonts w:hint="eastAsia" w:ascii="Times New Roman" w:hAnsi="宋体" w:eastAsia="宋体"/>
                <w:color w:val="auto"/>
                <w:position w:val="0"/>
                <w:sz w:val="24"/>
                <w:szCs w:val="24"/>
                <w:lang w:val="en-US" w:eastAsia="zh-CN"/>
              </w:rPr>
              <w:t>11.25-11.26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环评报告表</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审批部门</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default" w:ascii="Times New Roman" w:hAnsi="Times New Roman" w:cs="Times New Roman"/>
                <w:color w:val="auto"/>
                <w:spacing w:val="-6"/>
                <w:sz w:val="24"/>
                <w:szCs w:val="24"/>
                <w:lang w:val="en-US" w:eastAsia="zh-CN"/>
              </w:rPr>
              <w:t>鄄城县</w:t>
            </w:r>
            <w:r>
              <w:rPr>
                <w:rFonts w:hint="eastAsia" w:ascii="Times New Roman" w:hAnsi="Times New Roman" w:cs="Times New Roman"/>
                <w:color w:val="auto"/>
                <w:spacing w:val="-6"/>
                <w:sz w:val="24"/>
                <w:szCs w:val="24"/>
                <w:lang w:val="en-US" w:eastAsia="zh-CN"/>
              </w:rPr>
              <w:t>审批服务局</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环评报告表</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编制单位</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山东新达工程设计有限公司</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38"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环保设施设计单位</w:t>
            </w:r>
          </w:p>
        </w:tc>
        <w:tc>
          <w:tcPr>
            <w:tcW w:w="2308" w:type="dxa"/>
            <w:shd w:val="clear" w:color="auto" w:fill="auto"/>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eastAsia="zh-CN"/>
              </w:rPr>
            </w:pPr>
            <w:r>
              <w:rPr>
                <w:rFonts w:hint="eastAsia" w:ascii="Times New Roman" w:hAnsi="宋体" w:eastAsia="宋体"/>
                <w:color w:val="auto"/>
                <w:position w:val="0"/>
                <w:sz w:val="24"/>
                <w:szCs w:val="24"/>
                <w:lang w:val="en-US" w:eastAsia="zh-CN"/>
              </w:rPr>
              <w:t>/</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环保设施施工单位</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eastAsia="zh-CN"/>
              </w:rPr>
            </w:pPr>
            <w:r>
              <w:rPr>
                <w:rFonts w:hint="eastAsia" w:ascii="Times New Roman" w:hAnsi="宋体" w:eastAsia="宋体"/>
                <w:color w:val="auto"/>
                <w:position w:val="0"/>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投资总概算</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ascii="Times New Roman" w:hAnsi="宋体" w:eastAsia="宋体"/>
                <w:color w:val="auto"/>
                <w:position w:val="0"/>
                <w:sz w:val="24"/>
                <w:szCs w:val="24"/>
                <w:lang w:val="en-US" w:eastAsia="zh-CN"/>
              </w:rPr>
              <w:t>1000</w:t>
            </w:r>
            <w:r>
              <w:rPr>
                <w:rFonts w:hint="default" w:ascii="Times New Roman" w:hAnsi="宋体" w:eastAsia="宋体"/>
                <w:color w:val="auto"/>
                <w:position w:val="0"/>
                <w:sz w:val="24"/>
                <w:szCs w:val="24"/>
              </w:rPr>
              <w:t>万</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环保投资总概算</w:t>
            </w:r>
          </w:p>
        </w:tc>
        <w:tc>
          <w:tcPr>
            <w:tcW w:w="825"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ascii="Times New Roman" w:hAnsi="宋体" w:eastAsia="宋体"/>
                <w:color w:val="auto"/>
                <w:position w:val="0"/>
                <w:sz w:val="24"/>
                <w:szCs w:val="24"/>
                <w:lang w:val="en-US" w:eastAsia="zh-CN"/>
              </w:rPr>
              <w:t>20</w:t>
            </w:r>
            <w:r>
              <w:rPr>
                <w:rFonts w:hint="default" w:ascii="Times New Roman" w:hAnsi="宋体" w:eastAsia="宋体"/>
                <w:color w:val="auto"/>
                <w:position w:val="0"/>
                <w:sz w:val="24"/>
                <w:szCs w:val="24"/>
              </w:rPr>
              <w:t>万</w:t>
            </w:r>
          </w:p>
        </w:tc>
        <w:tc>
          <w:tcPr>
            <w:tcW w:w="679" w:type="dxa"/>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val="en-US" w:eastAsia="zh-CN"/>
              </w:rPr>
            </w:pPr>
            <w:r>
              <w:rPr>
                <w:rFonts w:hint="default" w:ascii="Times New Roman" w:hAnsi="宋体" w:eastAsia="宋体"/>
                <w:color w:val="000000" w:themeColor="text1"/>
                <w:position w:val="0"/>
                <w:sz w:val="24"/>
                <w:szCs w:val="24"/>
                <w14:textFill>
                  <w14:solidFill>
                    <w14:schemeClr w14:val="tx1"/>
                  </w14:solidFill>
                </w14:textFill>
              </w:rPr>
              <w:t>比例</w:t>
            </w:r>
          </w:p>
        </w:tc>
        <w:tc>
          <w:tcPr>
            <w:tcW w:w="81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 xml:space="preserve"> 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实际总概算</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eastAsia" w:ascii="Times New Roman" w:hAnsi="宋体" w:eastAsia="宋体"/>
                <w:color w:val="000000" w:themeColor="text1"/>
                <w:position w:val="0"/>
                <w:sz w:val="24"/>
                <w:szCs w:val="24"/>
                <w:lang w:val="en-US" w:eastAsia="zh-CN"/>
                <w14:textFill>
                  <w14:solidFill>
                    <w14:schemeClr w14:val="tx1"/>
                  </w14:solidFill>
                </w14:textFill>
              </w:rPr>
              <w:t>500</w:t>
            </w:r>
            <w:r>
              <w:rPr>
                <w:rFonts w:hint="default" w:ascii="Times New Roman" w:hAnsi="宋体" w:eastAsia="宋体"/>
                <w:color w:val="000000" w:themeColor="text1"/>
                <w:position w:val="0"/>
                <w:sz w:val="24"/>
                <w:szCs w:val="24"/>
                <w14:textFill>
                  <w14:solidFill>
                    <w14:schemeClr w14:val="tx1"/>
                  </w14:solidFill>
                </w14:textFill>
              </w:rPr>
              <w:t>万</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环保投资</w:t>
            </w:r>
          </w:p>
        </w:tc>
        <w:tc>
          <w:tcPr>
            <w:tcW w:w="825"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eastAsia" w:ascii="Times New Roman" w:hAnsi="宋体" w:eastAsia="宋体"/>
                <w:color w:val="000000" w:themeColor="text1"/>
                <w:position w:val="0"/>
                <w:sz w:val="24"/>
                <w:szCs w:val="24"/>
                <w:lang w:val="en-US" w:eastAsia="zh-CN"/>
                <w14:textFill>
                  <w14:solidFill>
                    <w14:schemeClr w14:val="tx1"/>
                  </w14:solidFill>
                </w14:textFill>
              </w:rPr>
              <w:t>10</w:t>
            </w:r>
            <w:r>
              <w:rPr>
                <w:rFonts w:hint="default" w:ascii="Times New Roman" w:hAnsi="宋体" w:eastAsia="宋体"/>
                <w:color w:val="000000" w:themeColor="text1"/>
                <w:position w:val="0"/>
                <w:sz w:val="24"/>
                <w:szCs w:val="24"/>
                <w14:textFill>
                  <w14:solidFill>
                    <w14:schemeClr w14:val="tx1"/>
                  </w14:solidFill>
                </w14:textFill>
              </w:rPr>
              <w:t>万</w:t>
            </w:r>
          </w:p>
        </w:tc>
        <w:tc>
          <w:tcPr>
            <w:tcW w:w="679"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比例</w:t>
            </w:r>
          </w:p>
        </w:tc>
        <w:tc>
          <w:tcPr>
            <w:tcW w:w="81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验收监测依据</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tc>
        <w:tc>
          <w:tcPr>
            <w:tcW w:w="6850" w:type="dxa"/>
            <w:gridSpan w:val="5"/>
            <w:vAlign w:val="center"/>
          </w:tcPr>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（1）国务院令（2017）第682号《国务院关于修改《建设项目环境保护管理条例》的决定》（2017.10）；</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（2）国环规环评[2017]4号《建设项目竣工环境保护验收暂行办法》（2017.11）；</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（3）《建设项目竣工环境保护验收技术指南 污染影响类》；</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（4）《</w:t>
            </w: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 xml:space="preserve">年产40吨发制品项目 </w:t>
            </w:r>
            <w:r>
              <w:rPr>
                <w:rFonts w:hint="default" w:ascii="Times New Roman" w:hAnsi="宋体" w:eastAsia="宋体"/>
                <w:color w:val="auto"/>
                <w:position w:val="0"/>
                <w:sz w:val="24"/>
                <w:szCs w:val="24"/>
              </w:rPr>
              <w:t>境影响报告表》（2018.0</w:t>
            </w:r>
            <w:r>
              <w:rPr>
                <w:rFonts w:hint="eastAsia" w:ascii="Times New Roman" w:hAnsi="宋体" w:eastAsia="宋体"/>
                <w:color w:val="auto"/>
                <w:position w:val="0"/>
                <w:sz w:val="24"/>
                <w:szCs w:val="24"/>
                <w:lang w:val="en-US" w:eastAsia="zh-CN"/>
              </w:rPr>
              <w:t>6</w:t>
            </w:r>
            <w:r>
              <w:rPr>
                <w:rFonts w:hint="default" w:ascii="Times New Roman" w:hAnsi="宋体" w:eastAsia="宋体"/>
                <w:color w:val="auto"/>
                <w:position w:val="0"/>
                <w:sz w:val="24"/>
                <w:szCs w:val="24"/>
              </w:rPr>
              <w:t>）；</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（5）《</w:t>
            </w: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 xml:space="preserve">年产40吨发制品项目 </w:t>
            </w:r>
            <w:r>
              <w:rPr>
                <w:rFonts w:hint="default" w:ascii="Times New Roman" w:hAnsi="宋体" w:eastAsia="宋体"/>
                <w:color w:val="auto"/>
                <w:position w:val="0"/>
                <w:sz w:val="24"/>
                <w:szCs w:val="24"/>
              </w:rPr>
              <w:t>环境影响报告表的批复》（</w:t>
            </w:r>
            <w:r>
              <w:rPr>
                <w:rFonts w:hint="eastAsia" w:ascii="宋体" w:hAnsi="宋体" w:eastAsia="宋体"/>
                <w:color w:val="000000"/>
                <w:sz w:val="21"/>
                <w:szCs w:val="21"/>
                <w:lang w:val="en-US" w:eastAsia="zh-CN"/>
              </w:rPr>
              <w:t>鄄行审投</w:t>
            </w:r>
            <w:r>
              <w:rPr>
                <w:rFonts w:hint="eastAsia" w:ascii="宋体" w:hAnsi="宋体" w:eastAsia="宋体"/>
                <w:color w:val="000000"/>
                <w:sz w:val="21"/>
                <w:szCs w:val="21"/>
              </w:rPr>
              <w:t>［201</w:t>
            </w:r>
            <w:r>
              <w:rPr>
                <w:rFonts w:hint="eastAsia" w:ascii="宋体" w:hAnsi="宋体" w:eastAsia="宋体"/>
                <w:color w:val="000000"/>
                <w:sz w:val="21"/>
                <w:szCs w:val="21"/>
                <w:lang w:val="en-US" w:eastAsia="zh-CN"/>
              </w:rPr>
              <w:t>9</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号</w:t>
            </w:r>
            <w:r>
              <w:rPr>
                <w:rFonts w:hint="default" w:ascii="Times New Roman" w:hAnsi="宋体" w:eastAsia="宋体"/>
                <w:color w:val="auto"/>
                <w:position w:val="0"/>
                <w:sz w:val="24"/>
                <w:szCs w:val="24"/>
              </w:rPr>
              <w:t>）；</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0"/>
                <w:szCs w:val="20"/>
              </w:rPr>
            </w:pPr>
            <w:r>
              <w:rPr>
                <w:rFonts w:hint="default" w:ascii="Times New Roman" w:hAnsi="宋体" w:eastAsia="宋体"/>
                <w:color w:val="auto"/>
                <w:position w:val="0"/>
                <w:sz w:val="24"/>
                <w:szCs w:val="24"/>
              </w:rPr>
              <w:t>（6）委托书。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605"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验收监测评价标准、标号、级别、限值</w:t>
            </w:r>
          </w:p>
        </w:tc>
        <w:tc>
          <w:tcPr>
            <w:tcW w:w="6850" w:type="dxa"/>
            <w:gridSpan w:val="5"/>
            <w:vAlign w:val="top"/>
          </w:tcPr>
          <w:p>
            <w:pPr>
              <w:pageBreakBefore w:val="0"/>
              <w:numPr>
                <w:ilvl w:val="0"/>
                <w:numId w:val="0"/>
              </w:numPr>
              <w:autoSpaceDE/>
              <w:autoSpaceDN/>
              <w:bidi w:val="0"/>
              <w:snapToGrid/>
              <w:spacing w:before="0" w:after="0" w:line="360" w:lineRule="auto"/>
              <w:ind w:right="0" w:firstLine="482"/>
              <w:jc w:val="both"/>
              <w:outlineLvl w:val="2"/>
              <w:rPr>
                <w:rFonts w:hint="default" w:ascii="Times New Roman" w:hAnsi="宋体" w:eastAsia="宋体"/>
                <w:b/>
                <w:color w:val="auto"/>
                <w:position w:val="0"/>
                <w:sz w:val="24"/>
                <w:szCs w:val="24"/>
              </w:rPr>
            </w:pPr>
            <w:bookmarkStart w:id="4" w:name="_Toc5054"/>
            <w:bookmarkStart w:id="5" w:name="_Toc20644"/>
            <w:bookmarkStart w:id="6" w:name="_Toc23338"/>
            <w:r>
              <w:rPr>
                <w:rFonts w:hint="default" w:ascii="Times New Roman" w:hAnsi="宋体" w:eastAsia="宋体"/>
                <w:b/>
                <w:color w:val="auto"/>
                <w:position w:val="0"/>
                <w:sz w:val="24"/>
                <w:szCs w:val="24"/>
              </w:rPr>
              <w:t>1、废气</w:t>
            </w:r>
            <w:bookmarkEnd w:id="4"/>
            <w:bookmarkEnd w:id="5"/>
            <w:bookmarkEnd w:id="6"/>
          </w:p>
          <w:p>
            <w:pPr>
              <w:widowControl/>
              <w:spacing w:line="360" w:lineRule="auto"/>
              <w:ind w:firstLine="480" w:firstLineChars="200"/>
              <w:jc w:val="left"/>
              <w:rPr>
                <w:rFonts w:hint="eastAsia" w:ascii="宋体" w:hAnsi="宋体" w:eastAsia="宋体" w:cs="宋体"/>
                <w:sz w:val="24"/>
              </w:rPr>
            </w:pPr>
            <w:r>
              <w:rPr>
                <w:rFonts w:hint="default" w:ascii="Times New Roman" w:hAnsi="Times New Roman" w:eastAsia="宋体" w:cs="Times New Roman"/>
                <w:sz w:val="24"/>
              </w:rPr>
              <w:t>有组织</w:t>
            </w:r>
            <w:r>
              <w:rPr>
                <w:rFonts w:hint="eastAsia" w:cs="Times New Roman"/>
                <w:sz w:val="24"/>
                <w:lang w:val="en-US" w:eastAsia="zh-CN"/>
              </w:rPr>
              <w:t>硫酸雾执行《大气污染物综合排放标准》（GB16297-1996）表2中二级标准要求</w:t>
            </w:r>
            <w:r>
              <w:rPr>
                <w:rFonts w:hint="eastAsia" w:ascii="宋体" w:hAnsi="宋体" w:eastAsia="宋体" w:cs="宋体"/>
                <w:sz w:val="24"/>
              </w:rPr>
              <w:t>。</w:t>
            </w:r>
          </w:p>
          <w:tbl>
            <w:tblPr>
              <w:tblStyle w:val="34"/>
              <w:tblW w:w="6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236"/>
              <w:gridCol w:w="1204"/>
              <w:gridCol w:w="963"/>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7"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236"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排放浓度（mg/m³）</w:t>
                  </w:r>
                </w:p>
              </w:tc>
              <w:tc>
                <w:tcPr>
                  <w:tcW w:w="1204"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排放速率（kg/h）</w:t>
                  </w:r>
                </w:p>
              </w:tc>
              <w:tc>
                <w:tcPr>
                  <w:tcW w:w="963"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排气筒高度（m）</w:t>
                  </w:r>
                </w:p>
              </w:tc>
              <w:tc>
                <w:tcPr>
                  <w:tcW w:w="2394"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7" w:type="dxa"/>
                  <w:shd w:val="clear" w:color="auto" w:fill="auto"/>
                  <w:vAlign w:val="center"/>
                </w:tcPr>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有</w:t>
                  </w:r>
                  <w:r>
                    <w:rPr>
                      <w:rFonts w:hint="eastAsia" w:ascii="宋体" w:hAnsi="宋体" w:eastAsia="宋体" w:cs="宋体"/>
                      <w:sz w:val="21"/>
                      <w:szCs w:val="21"/>
                    </w:rPr>
                    <w:t>组织</w:t>
                  </w:r>
                  <w:r>
                    <w:rPr>
                      <w:rFonts w:hint="eastAsia" w:ascii="宋体" w:hAnsi="宋体" w:cs="宋体"/>
                      <w:sz w:val="21"/>
                      <w:szCs w:val="21"/>
                      <w:lang w:val="en-US" w:eastAsia="zh-CN"/>
                    </w:rPr>
                    <w:t>硫酸雾</w:t>
                  </w:r>
                </w:p>
              </w:tc>
              <w:tc>
                <w:tcPr>
                  <w:tcW w:w="1236" w:type="dxa"/>
                  <w:shd w:val="clear" w:color="auto" w:fill="auto"/>
                  <w:vAlign w:val="center"/>
                </w:tcPr>
                <w:p>
                  <w:pPr>
                    <w:spacing w:line="24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45</w:t>
                  </w:r>
                </w:p>
              </w:tc>
              <w:tc>
                <w:tcPr>
                  <w:tcW w:w="1204" w:type="dxa"/>
                  <w:shd w:val="clear" w:color="auto" w:fill="auto"/>
                  <w:vAlign w:val="center"/>
                </w:tcPr>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963" w:type="dxa"/>
                  <w:shd w:val="clear" w:color="auto" w:fill="auto"/>
                  <w:vAlign w:val="center"/>
                </w:tcPr>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394" w:type="dxa"/>
                  <w:shd w:val="clear" w:color="auto" w:fill="auto"/>
                  <w:vAlign w:val="center"/>
                </w:tcPr>
                <w:p>
                  <w:pPr>
                    <w:widowControl/>
                    <w:spacing w:line="360" w:lineRule="auto"/>
                    <w:jc w:val="left"/>
                    <w:rPr>
                      <w:rFonts w:hint="eastAsia" w:ascii="宋体" w:hAnsi="宋体" w:eastAsia="宋体" w:cs="宋体"/>
                      <w:sz w:val="24"/>
                    </w:rPr>
                  </w:pPr>
                  <w:r>
                    <w:rPr>
                      <w:rFonts w:hint="eastAsia" w:ascii="宋体" w:hAnsi="宋体" w:eastAsia="宋体" w:cs="宋体"/>
                      <w:sz w:val="21"/>
                      <w:szCs w:val="21"/>
                      <w:lang w:val="en-US" w:eastAsia="zh-CN"/>
                    </w:rPr>
                    <w:t>排放满足《大气污染物综合排放标准》（GB16297-1996）表2中二级标准要求。</w:t>
                  </w:r>
                </w:p>
                <w:p>
                  <w:pPr>
                    <w:spacing w:line="240" w:lineRule="auto"/>
                    <w:jc w:val="center"/>
                    <w:rPr>
                      <w:rFonts w:hint="eastAsia" w:ascii="宋体" w:hAnsi="宋体" w:eastAsia="宋体" w:cs="宋体"/>
                      <w:sz w:val="21"/>
                      <w:szCs w:val="21"/>
                    </w:rPr>
                  </w:pPr>
                </w:p>
              </w:tc>
            </w:tr>
          </w:tbl>
          <w:p>
            <w:pPr>
              <w:pageBreakBefore w:val="0"/>
              <w:numPr>
                <w:ilvl w:val="0"/>
                <w:numId w:val="0"/>
              </w:numPr>
              <w:autoSpaceDE/>
              <w:autoSpaceDN/>
              <w:bidi w:val="0"/>
              <w:snapToGrid/>
              <w:spacing w:before="0" w:after="0" w:line="360" w:lineRule="auto"/>
              <w:ind w:right="0" w:firstLine="480"/>
              <w:jc w:val="left"/>
              <w:rPr>
                <w:rFonts w:hint="eastAsia"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有组织氨执行《恶臭污染物排放标准》（GB14554-93）二级新建标准要求。</w:t>
            </w:r>
          </w:p>
          <w:tbl>
            <w:tblPr>
              <w:tblStyle w:val="34"/>
              <w:tblW w:w="6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63"/>
              <w:gridCol w:w="1171"/>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17"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463"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排放</w:t>
                  </w:r>
                  <w:r>
                    <w:rPr>
                      <w:rFonts w:hint="eastAsia" w:ascii="宋体" w:hAnsi="宋体" w:eastAsia="宋体" w:cs="宋体"/>
                      <w:sz w:val="21"/>
                      <w:szCs w:val="21"/>
                      <w:lang w:val="en-US" w:eastAsia="zh-CN"/>
                    </w:rPr>
                    <w:t>量</w:t>
                  </w:r>
                  <w:r>
                    <w:rPr>
                      <w:rFonts w:hint="eastAsia" w:ascii="宋体" w:hAnsi="宋体" w:eastAsia="宋体" w:cs="宋体"/>
                      <w:sz w:val="21"/>
                      <w:szCs w:val="21"/>
                    </w:rPr>
                    <w:t>（kg/h）</w:t>
                  </w:r>
                </w:p>
              </w:tc>
              <w:tc>
                <w:tcPr>
                  <w:tcW w:w="1171"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排气筒高度（m）</w:t>
                  </w:r>
                </w:p>
              </w:tc>
              <w:tc>
                <w:tcPr>
                  <w:tcW w:w="2909"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017" w:type="dxa"/>
                  <w:shd w:val="clear" w:color="auto" w:fill="auto"/>
                  <w:vAlign w:val="center"/>
                </w:tcPr>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有</w:t>
                  </w:r>
                  <w:r>
                    <w:rPr>
                      <w:rFonts w:hint="eastAsia" w:ascii="宋体" w:hAnsi="宋体" w:eastAsia="宋体" w:cs="宋体"/>
                      <w:sz w:val="21"/>
                      <w:szCs w:val="21"/>
                    </w:rPr>
                    <w:t>组织</w:t>
                  </w:r>
                  <w:r>
                    <w:rPr>
                      <w:rFonts w:hint="eastAsia" w:ascii="宋体" w:hAnsi="宋体" w:cs="宋体"/>
                      <w:sz w:val="21"/>
                      <w:szCs w:val="21"/>
                      <w:lang w:val="en-US" w:eastAsia="zh-CN"/>
                    </w:rPr>
                    <w:t>氨</w:t>
                  </w:r>
                </w:p>
              </w:tc>
              <w:tc>
                <w:tcPr>
                  <w:tcW w:w="1463" w:type="dxa"/>
                  <w:shd w:val="clear" w:color="auto" w:fill="auto"/>
                  <w:vAlign w:val="center"/>
                </w:tcPr>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4.9</w:t>
                  </w:r>
                </w:p>
              </w:tc>
              <w:tc>
                <w:tcPr>
                  <w:tcW w:w="1171" w:type="dxa"/>
                  <w:shd w:val="clear" w:color="auto" w:fill="auto"/>
                  <w:vAlign w:val="center"/>
                </w:tcPr>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909" w:type="dxa"/>
                  <w:shd w:val="clear" w:color="auto" w:fill="auto"/>
                  <w:vAlign w:val="center"/>
                </w:tcPr>
                <w:p>
                  <w:pPr>
                    <w:widowControl/>
                    <w:spacing w:line="360" w:lineRule="auto"/>
                    <w:jc w:val="left"/>
                    <w:rPr>
                      <w:rFonts w:hint="eastAsia" w:ascii="宋体" w:hAnsi="宋体" w:eastAsia="宋体" w:cs="宋体"/>
                      <w:sz w:val="24"/>
                    </w:rPr>
                  </w:pPr>
                  <w:r>
                    <w:rPr>
                      <w:rFonts w:hint="eastAsia" w:ascii="宋体" w:hAnsi="宋体" w:eastAsia="宋体" w:cs="宋体"/>
                      <w:sz w:val="21"/>
                      <w:szCs w:val="21"/>
                      <w:lang w:val="en-US" w:eastAsia="zh-CN"/>
                    </w:rPr>
                    <w:t>排放满足</w:t>
                  </w:r>
                  <w:r>
                    <w:rPr>
                      <w:rFonts w:hint="eastAsia" w:ascii="Times New Roman" w:hAnsi="宋体" w:eastAsia="宋体"/>
                      <w:color w:val="auto"/>
                      <w:position w:val="0"/>
                      <w:sz w:val="24"/>
                      <w:szCs w:val="24"/>
                      <w:lang w:val="en-US" w:eastAsia="zh-CN"/>
                    </w:rPr>
                    <w:t>《恶臭污染物排放标准》（GB14554-93）二级新建标准要求。</w:t>
                  </w:r>
                </w:p>
                <w:p>
                  <w:pPr>
                    <w:spacing w:line="240" w:lineRule="auto"/>
                    <w:jc w:val="center"/>
                    <w:rPr>
                      <w:rFonts w:hint="eastAsia" w:ascii="宋体" w:hAnsi="宋体" w:eastAsia="宋体" w:cs="宋体"/>
                      <w:sz w:val="21"/>
                      <w:szCs w:val="21"/>
                    </w:rPr>
                  </w:pPr>
                </w:p>
              </w:tc>
            </w:tr>
          </w:tbl>
          <w:p>
            <w:pPr>
              <w:pStyle w:val="8"/>
              <w:ind w:left="0" w:leftChars="0" w:firstLine="0" w:firstLineChars="0"/>
              <w:rPr>
                <w:rFonts w:hint="default"/>
                <w:lang w:val="en-US" w:eastAsia="zh-CN"/>
              </w:rPr>
            </w:pPr>
          </w:p>
          <w:p>
            <w:pPr>
              <w:rPr>
                <w:rFonts w:hint="eastAsia" w:cs="Times New Roman"/>
                <w:sz w:val="24"/>
                <w:lang w:val="en-US" w:eastAsia="zh-CN"/>
              </w:rPr>
            </w:pPr>
            <w:r>
              <w:rPr>
                <w:rFonts w:hint="eastAsia"/>
                <w:lang w:val="en-US" w:eastAsia="zh-CN"/>
              </w:rPr>
              <w:t>无</w:t>
            </w:r>
            <w:r>
              <w:rPr>
                <w:rFonts w:hint="default" w:ascii="Times New Roman" w:hAnsi="Times New Roman" w:eastAsia="宋体" w:cs="Times New Roman"/>
                <w:sz w:val="24"/>
              </w:rPr>
              <w:t>组织</w:t>
            </w:r>
            <w:r>
              <w:rPr>
                <w:rFonts w:hint="eastAsia" w:cs="Times New Roman"/>
                <w:sz w:val="24"/>
                <w:lang w:val="en-US" w:eastAsia="zh-CN"/>
              </w:rPr>
              <w:t>硫酸雾执行《大气污染物综合排放标准》（GB16297-1996）表2中无组织硫酸雾排放小于1.2mg/g要求。</w:t>
            </w:r>
          </w:p>
          <w:p>
            <w:pPr>
              <w:pStyle w:val="8"/>
              <w:ind w:left="0" w:leftChars="0" w:firstLine="0" w:firstLineChars="0"/>
              <w:rPr>
                <w:rFonts w:hint="default" w:ascii="Times New Roman" w:hAnsi="Times New Roman" w:eastAsia="宋体" w:cs="Times New Roman"/>
                <w:b w:val="0"/>
                <w:w w:val="100"/>
                <w:sz w:val="24"/>
                <w:szCs w:val="22"/>
                <w:shd w:val="clear"/>
                <w:vertAlign w:val="baseline"/>
                <w:lang w:val="en-US" w:eastAsia="zh-CN"/>
              </w:rPr>
            </w:pPr>
            <w:r>
              <w:rPr>
                <w:rFonts w:hint="eastAsia" w:ascii="Times New Roman" w:hAnsi="Times New Roman" w:eastAsia="宋体" w:cs="Times New Roman"/>
                <w:b w:val="0"/>
                <w:w w:val="100"/>
                <w:sz w:val="24"/>
                <w:szCs w:val="22"/>
                <w:shd w:val="clear"/>
                <w:lang w:val="en-US" w:eastAsia="zh-CN"/>
              </w:rPr>
              <w:t>无组织氨执行《恶臭污染物排放标准》（GB14554-93）二级新建标准,即氨小于1.5mg/m</w:t>
            </w:r>
            <w:r>
              <w:rPr>
                <w:rFonts w:hint="eastAsia" w:ascii="Times New Roman" w:hAnsi="Times New Roman" w:eastAsia="宋体" w:cs="Times New Roman"/>
                <w:b w:val="0"/>
                <w:w w:val="100"/>
                <w:sz w:val="24"/>
                <w:szCs w:val="22"/>
                <w:shd w:val="clear"/>
                <w:vertAlign w:val="superscript"/>
                <w:lang w:val="en-US" w:eastAsia="zh-CN"/>
              </w:rPr>
              <w:t>3</w:t>
            </w:r>
            <w:r>
              <w:rPr>
                <w:rFonts w:hint="eastAsia" w:ascii="Times New Roman" w:hAnsi="Times New Roman" w:eastAsia="宋体" w:cs="Times New Roman"/>
                <w:b w:val="0"/>
                <w:w w:val="100"/>
                <w:sz w:val="24"/>
                <w:szCs w:val="22"/>
                <w:shd w:val="clear"/>
                <w:vertAlign w:val="baseline"/>
                <w:lang w:val="en-US" w:eastAsia="zh-CN"/>
              </w:rPr>
              <w:t>.</w:t>
            </w:r>
          </w:p>
          <w:p>
            <w:pPr>
              <w:pStyle w:val="8"/>
              <w:ind w:left="0" w:leftChars="0" w:firstLine="0" w:firstLineChars="0"/>
              <w:rPr>
                <w:rFonts w:hint="eastAsia"/>
                <w:lang w:val="en-US" w:eastAsia="zh-CN"/>
              </w:rPr>
            </w:pPr>
          </w:p>
          <w:p>
            <w:pPr>
              <w:pStyle w:val="51"/>
              <w:pageBreakBefore w:val="0"/>
              <w:numPr>
                <w:ilvl w:val="0"/>
                <w:numId w:val="0"/>
              </w:numPr>
              <w:autoSpaceDE/>
              <w:autoSpaceDN/>
              <w:bidi w:val="0"/>
              <w:snapToGrid w:val="0"/>
              <w:spacing w:before="0" w:after="0" w:line="360" w:lineRule="auto"/>
              <w:ind w:right="0" w:firstLine="482"/>
              <w:jc w:val="left"/>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2、噪声</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营运期厂界噪声执行《工业企业厂界环境噪声排放标准》(GB12348-2008)中的</w:t>
            </w:r>
            <w:r>
              <w:rPr>
                <w:rFonts w:hint="eastAsia" w:ascii="Times New Roman" w:hAnsi="宋体" w:eastAsia="宋体"/>
                <w:color w:val="auto"/>
                <w:position w:val="0"/>
                <w:sz w:val="24"/>
                <w:szCs w:val="24"/>
                <w:lang w:val="en-US" w:eastAsia="zh-CN"/>
              </w:rPr>
              <w:t>3</w:t>
            </w:r>
            <w:r>
              <w:rPr>
                <w:rFonts w:hint="default" w:ascii="Times New Roman" w:hAnsi="宋体" w:eastAsia="宋体"/>
                <w:color w:val="auto"/>
                <w:position w:val="0"/>
                <w:sz w:val="24"/>
                <w:szCs w:val="24"/>
              </w:rPr>
              <w:t>类标准。</w:t>
            </w:r>
          </w:p>
          <w:p>
            <w:pPr>
              <w:numPr>
                <w:ilvl w:val="0"/>
                <w:numId w:val="0"/>
              </w:numPr>
              <w:autoSpaceDE/>
              <w:autoSpaceDN/>
              <w:snapToGrid w:val="0"/>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 xml:space="preserve">表1-2工业企业厂界环境噪声排放标准（摘录） </w:t>
            </w:r>
          </w:p>
          <w:tbl>
            <w:tblPr>
              <w:tblStyle w:val="33"/>
              <w:tblW w:w="66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5"/>
              <w:gridCol w:w="1137"/>
              <w:gridCol w:w="1117"/>
              <w:gridCol w:w="1158"/>
              <w:gridCol w:w="2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25" w:type="dxa"/>
                  <w:vAlign w:val="center"/>
                </w:tcPr>
                <w:p>
                  <w:pPr>
                    <w:pStyle w:val="52"/>
                    <w:numPr>
                      <w:ilvl w:val="0"/>
                      <w:numId w:val="0"/>
                    </w:numPr>
                    <w:autoSpaceDE/>
                    <w:autoSpaceDN/>
                    <w:snapToGrid w:val="0"/>
                    <w:spacing w:before="0" w:after="20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时段</w:t>
                  </w:r>
                </w:p>
              </w:tc>
              <w:tc>
                <w:tcPr>
                  <w:tcW w:w="1137" w:type="dxa"/>
                  <w:vAlign w:val="center"/>
                </w:tcPr>
                <w:p>
                  <w:pPr>
                    <w:pStyle w:val="52"/>
                    <w:numPr>
                      <w:ilvl w:val="0"/>
                      <w:numId w:val="0"/>
                    </w:numPr>
                    <w:autoSpaceDE/>
                    <w:autoSpaceDN/>
                    <w:snapToGrid w:val="0"/>
                    <w:spacing w:before="0" w:after="20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昼间[dB(A)]</w:t>
                  </w:r>
                </w:p>
              </w:tc>
              <w:tc>
                <w:tcPr>
                  <w:tcW w:w="1117" w:type="dxa"/>
                  <w:tcBorders>
                    <w:top w:val="single" w:color="000000" w:sz="4" w:space="0"/>
                  </w:tcBorders>
                  <w:vAlign w:val="center"/>
                </w:tcPr>
                <w:p>
                  <w:pPr>
                    <w:pStyle w:val="52"/>
                    <w:numPr>
                      <w:ilvl w:val="0"/>
                      <w:numId w:val="0"/>
                    </w:numPr>
                    <w:autoSpaceDE/>
                    <w:autoSpaceDN/>
                    <w:snapToGrid w:val="0"/>
                    <w:spacing w:before="0" w:after="20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夜间[dB(A)]</w:t>
                  </w:r>
                </w:p>
              </w:tc>
              <w:tc>
                <w:tcPr>
                  <w:tcW w:w="1158" w:type="dxa"/>
                  <w:tcBorders>
                    <w:top w:val="single" w:color="000000" w:sz="4" w:space="0"/>
                  </w:tcBorders>
                  <w:vAlign w:val="center"/>
                </w:tcPr>
                <w:p>
                  <w:pPr>
                    <w:pStyle w:val="52"/>
                    <w:numPr>
                      <w:ilvl w:val="0"/>
                      <w:numId w:val="0"/>
                    </w:numPr>
                    <w:autoSpaceDE/>
                    <w:autoSpaceDN/>
                    <w:snapToGrid w:val="0"/>
                    <w:spacing w:before="0" w:after="20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适用区域(范围)</w:t>
                  </w:r>
                </w:p>
              </w:tc>
              <w:tc>
                <w:tcPr>
                  <w:tcW w:w="2587" w:type="dxa"/>
                  <w:tcBorders>
                    <w:top w:val="single" w:color="000000" w:sz="4" w:space="0"/>
                  </w:tcBorders>
                  <w:vAlign w:val="center"/>
                </w:tcPr>
                <w:p>
                  <w:pPr>
                    <w:pStyle w:val="52"/>
                    <w:numPr>
                      <w:ilvl w:val="0"/>
                      <w:numId w:val="0"/>
                    </w:numPr>
                    <w:autoSpaceDE/>
                    <w:autoSpaceDN/>
                    <w:snapToGrid w:val="0"/>
                    <w:spacing w:before="0" w:after="20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采用标准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625" w:type="dxa"/>
                  <w:vAlign w:val="center"/>
                </w:tcPr>
                <w:p>
                  <w:pPr>
                    <w:pStyle w:val="52"/>
                    <w:pageBreakBefore w:val="0"/>
                    <w:numPr>
                      <w:ilvl w:val="0"/>
                      <w:numId w:val="0"/>
                    </w:numPr>
                    <w:autoSpaceDE/>
                    <w:autoSpaceDN/>
                    <w:bidi w:val="0"/>
                    <w:snapToGrid w:val="0"/>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运营期</w:t>
                  </w:r>
                </w:p>
              </w:tc>
              <w:tc>
                <w:tcPr>
                  <w:tcW w:w="1137" w:type="dxa"/>
                  <w:vAlign w:val="center"/>
                </w:tcPr>
                <w:p>
                  <w:pPr>
                    <w:pStyle w:val="52"/>
                    <w:numPr>
                      <w:ilvl w:val="0"/>
                      <w:numId w:val="0"/>
                    </w:numPr>
                    <w:autoSpaceDE/>
                    <w:autoSpaceDN/>
                    <w:snapToGrid w:val="0"/>
                    <w:spacing w:before="0" w:after="200" w:line="360" w:lineRule="auto"/>
                    <w:ind w:right="0" w:firstLine="0"/>
                    <w:jc w:val="center"/>
                    <w:rPr>
                      <w:rFonts w:hint="eastAsia"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6</w:t>
                  </w:r>
                  <w:r>
                    <w:rPr>
                      <w:rFonts w:hint="eastAsia" w:ascii="Times New Roman"/>
                      <w:color w:val="auto"/>
                      <w:position w:val="0"/>
                      <w:sz w:val="24"/>
                      <w:szCs w:val="24"/>
                      <w:lang w:val="en-US" w:eastAsia="zh-CN"/>
                    </w:rPr>
                    <w:t>5</w:t>
                  </w:r>
                </w:p>
              </w:tc>
              <w:tc>
                <w:tcPr>
                  <w:tcW w:w="1117" w:type="dxa"/>
                  <w:vAlign w:val="center"/>
                </w:tcPr>
                <w:p>
                  <w:pPr>
                    <w:pStyle w:val="52"/>
                    <w:numPr>
                      <w:ilvl w:val="0"/>
                      <w:numId w:val="0"/>
                    </w:numPr>
                    <w:autoSpaceDE/>
                    <w:autoSpaceDN/>
                    <w:snapToGrid w:val="0"/>
                    <w:spacing w:before="0" w:after="200" w:line="360" w:lineRule="auto"/>
                    <w:ind w:right="0" w:firstLine="0"/>
                    <w:jc w:val="center"/>
                    <w:rPr>
                      <w:rFonts w:hint="eastAsia"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5</w:t>
                  </w:r>
                  <w:r>
                    <w:rPr>
                      <w:rFonts w:hint="eastAsia" w:ascii="Times New Roman"/>
                      <w:color w:val="auto"/>
                      <w:position w:val="0"/>
                      <w:sz w:val="24"/>
                      <w:szCs w:val="24"/>
                      <w:lang w:val="en-US" w:eastAsia="zh-CN"/>
                    </w:rPr>
                    <w:t>5</w:t>
                  </w:r>
                </w:p>
              </w:tc>
              <w:tc>
                <w:tcPr>
                  <w:tcW w:w="1158" w:type="dxa"/>
                  <w:vAlign w:val="center"/>
                </w:tcPr>
                <w:p>
                  <w:pPr>
                    <w:pStyle w:val="52"/>
                    <w:numPr>
                      <w:ilvl w:val="0"/>
                      <w:numId w:val="0"/>
                    </w:numPr>
                    <w:autoSpaceDE/>
                    <w:autoSpaceDN/>
                    <w:snapToGrid w:val="0"/>
                    <w:spacing w:before="0" w:after="200" w:line="360" w:lineRule="auto"/>
                    <w:ind w:right="0" w:firstLine="0"/>
                    <w:jc w:val="center"/>
                    <w:rPr>
                      <w:rFonts w:hint="default" w:ascii="Times New Roman" w:hAnsi="宋体" w:eastAsia="宋体"/>
                      <w:color w:val="auto"/>
                      <w:position w:val="0"/>
                      <w:sz w:val="24"/>
                      <w:szCs w:val="24"/>
                    </w:rPr>
                  </w:pPr>
                  <w:r>
                    <w:rPr>
                      <w:rFonts w:hint="eastAsia" w:ascii="Times New Roman"/>
                      <w:color w:val="auto"/>
                      <w:position w:val="0"/>
                      <w:sz w:val="24"/>
                      <w:szCs w:val="24"/>
                      <w:lang w:val="en-US" w:eastAsia="zh-CN"/>
                    </w:rPr>
                    <w:t>3</w:t>
                  </w:r>
                  <w:r>
                    <w:rPr>
                      <w:rFonts w:hint="default" w:ascii="Times New Roman" w:hAnsi="宋体" w:eastAsia="宋体"/>
                      <w:color w:val="auto"/>
                      <w:position w:val="0"/>
                      <w:sz w:val="24"/>
                      <w:szCs w:val="24"/>
                    </w:rPr>
                    <w:t>类区域</w:t>
                  </w:r>
                </w:p>
              </w:tc>
              <w:tc>
                <w:tcPr>
                  <w:tcW w:w="2587" w:type="dxa"/>
                  <w:vAlign w:val="center"/>
                </w:tcPr>
                <w:p>
                  <w:pPr>
                    <w:pStyle w:val="52"/>
                    <w:pageBreakBefore w:val="0"/>
                    <w:numPr>
                      <w:ilvl w:val="0"/>
                      <w:numId w:val="0"/>
                    </w:numPr>
                    <w:autoSpaceDE/>
                    <w:autoSpaceDN/>
                    <w:bidi w:val="0"/>
                    <w:snapToGrid w:val="0"/>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《工业企业厂界环境噪声排放标准》(GB12348-2008</w:t>
                  </w:r>
                  <w:r>
                    <w:rPr>
                      <w:rFonts w:hint="eastAsia" w:ascii="Times New Roman"/>
                      <w:color w:val="auto"/>
                      <w:position w:val="0"/>
                      <w:sz w:val="24"/>
                      <w:szCs w:val="24"/>
                      <w:lang w:val="en-US" w:eastAsia="zh-CN"/>
                    </w:rPr>
                    <w:t>)3</w:t>
                  </w:r>
                  <w:r>
                    <w:rPr>
                      <w:rFonts w:hint="default" w:ascii="Times New Roman" w:hAnsi="宋体" w:eastAsia="宋体"/>
                      <w:color w:val="auto"/>
                      <w:position w:val="0"/>
                      <w:sz w:val="24"/>
                      <w:szCs w:val="24"/>
                    </w:rPr>
                    <w:t>类</w:t>
                  </w:r>
                </w:p>
              </w:tc>
            </w:tr>
          </w:tbl>
          <w:p>
            <w:pPr>
              <w:pStyle w:val="51"/>
              <w:pageBreakBefore w:val="0"/>
              <w:numPr>
                <w:ilvl w:val="0"/>
                <w:numId w:val="0"/>
              </w:numPr>
              <w:autoSpaceDE/>
              <w:autoSpaceDN/>
              <w:bidi w:val="0"/>
              <w:snapToGrid w:val="0"/>
              <w:spacing w:before="0" w:after="0" w:line="360" w:lineRule="auto"/>
              <w:ind w:right="0" w:firstLine="482"/>
              <w:jc w:val="left"/>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3、固废</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产生的固体废物执行《一般工业固体废物贮存、处置场污染控制标准》（GB18599-2001）及修改单（环境保护部公告2013年第36号）中的要求，危险废物执行《危险废物贮存污染控制标准》(GB18597-2001)及其修改单标准。</w:t>
            </w:r>
          </w:p>
        </w:tc>
      </w:tr>
    </w:tbl>
    <w:p>
      <w:pPr>
        <w:pageBreakBefore w:val="0"/>
        <w:numPr>
          <w:ilvl w:val="0"/>
          <w:numId w:val="0"/>
        </w:numPr>
        <w:autoSpaceDE/>
        <w:autoSpaceDN/>
        <w:bidi w:val="0"/>
        <w:snapToGrid/>
        <w:spacing w:before="0" w:after="0" w:line="360" w:lineRule="auto"/>
        <w:ind w:right="0" w:firstLine="0"/>
        <w:jc w:val="left"/>
        <w:rPr>
          <w:rFonts w:hint="default" w:ascii="Times New Roman" w:hAnsi="Times New Roman" w:eastAsia="Times New Roman"/>
          <w:b/>
          <w:color w:val="auto"/>
          <w:position w:val="0"/>
          <w:sz w:val="24"/>
          <w:szCs w:val="24"/>
        </w:rPr>
      </w:pPr>
    </w:p>
    <w:p>
      <w:pPr>
        <w:pageBreakBefore w:val="0"/>
        <w:numPr>
          <w:ilvl w:val="0"/>
          <w:numId w:val="0"/>
        </w:numPr>
        <w:autoSpaceDE/>
        <w:autoSpaceDN/>
        <w:bidi w:val="0"/>
        <w:snapToGrid/>
        <w:spacing w:before="0" w:after="0" w:line="360" w:lineRule="auto"/>
        <w:ind w:right="0" w:firstLine="0"/>
        <w:jc w:val="left"/>
        <w:outlineLvl w:val="0"/>
        <w:rPr>
          <w:rFonts w:hint="default" w:ascii="Times New Roman" w:hAnsi="Times New Roman" w:eastAsia="Times New Roman"/>
          <w:b/>
          <w:color w:val="auto"/>
          <w:position w:val="0"/>
          <w:sz w:val="24"/>
          <w:szCs w:val="24"/>
        </w:rPr>
      </w:pPr>
      <w:bookmarkStart w:id="7" w:name="_Toc28146"/>
      <w:r>
        <w:rPr>
          <w:rFonts w:hint="default" w:ascii="Times New Roman" w:hAnsi="Times New Roman" w:eastAsia="Times New Roman"/>
          <w:b/>
          <w:color w:val="auto"/>
          <w:position w:val="0"/>
          <w:sz w:val="24"/>
          <w:szCs w:val="24"/>
        </w:rPr>
        <w:t>表二</w:t>
      </w:r>
      <w:bookmarkEnd w:id="7"/>
    </w:p>
    <w:tbl>
      <w:tblPr>
        <w:tblStyle w:val="33"/>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374" w:hRule="atLeast"/>
          <w:jc w:val="center"/>
        </w:trPr>
        <w:tc>
          <w:tcPr>
            <w:tcW w:w="5000" w:type="pct"/>
            <w:vAlign w:val="top"/>
          </w:tcPr>
          <w:p>
            <w:pPr>
              <w:pageBreakBefore w:val="0"/>
              <w:numPr>
                <w:ilvl w:val="0"/>
                <w:numId w:val="0"/>
              </w:numPr>
              <w:autoSpaceDE/>
              <w:autoSpaceDN/>
              <w:bidi w:val="0"/>
              <w:snapToGrid/>
              <w:spacing w:before="0" w:after="0" w:line="360" w:lineRule="auto"/>
              <w:ind w:right="0" w:firstLine="482"/>
              <w:jc w:val="left"/>
              <w:outlineLvl w:val="0"/>
              <w:rPr>
                <w:rFonts w:hint="default" w:ascii="Times New Roman" w:hAnsi="宋体" w:eastAsia="宋体"/>
                <w:b/>
                <w:color w:val="auto"/>
                <w:position w:val="0"/>
                <w:sz w:val="24"/>
                <w:szCs w:val="24"/>
              </w:rPr>
            </w:pPr>
            <w:bookmarkStart w:id="8" w:name="_Toc21578"/>
            <w:bookmarkStart w:id="9" w:name="_Toc8813"/>
            <w:bookmarkStart w:id="10" w:name="_Toc28282"/>
            <w:r>
              <w:rPr>
                <w:rFonts w:hint="default" w:ascii="Times New Roman" w:hAnsi="宋体" w:eastAsia="宋体"/>
                <w:b/>
                <w:color w:val="auto"/>
                <w:position w:val="0"/>
                <w:sz w:val="24"/>
                <w:szCs w:val="24"/>
              </w:rPr>
              <w:t>一、工程建设内容：</w:t>
            </w:r>
            <w:bookmarkEnd w:id="8"/>
            <w:bookmarkEnd w:id="9"/>
            <w:bookmarkEnd w:id="10"/>
          </w:p>
          <w:p>
            <w:pPr>
              <w:pageBreakBefore w:val="0"/>
              <w:numPr>
                <w:ilvl w:val="0"/>
                <w:numId w:val="0"/>
              </w:numPr>
              <w:autoSpaceDE/>
              <w:autoSpaceDN/>
              <w:bidi w:val="0"/>
              <w:snapToGrid/>
              <w:spacing w:before="0" w:after="0" w:line="360" w:lineRule="auto"/>
              <w:ind w:right="0" w:firstLine="480"/>
              <w:jc w:val="both"/>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本项目属于新建，</w:t>
            </w:r>
            <w:r>
              <w:rPr>
                <w:rFonts w:hint="eastAsia" w:ascii="Times New Roman" w:hAnsi="宋体" w:eastAsia="宋体" w:cs="宋体"/>
                <w:color w:val="auto"/>
                <w:position w:val="0"/>
                <w:sz w:val="24"/>
                <w:szCs w:val="24"/>
                <w:lang w:val="en-US" w:eastAsia="zh-CN"/>
              </w:rPr>
              <w:t xml:space="preserve">年产40吨发制品项目 </w:t>
            </w:r>
            <w:r>
              <w:rPr>
                <w:rFonts w:hint="default" w:ascii="Times New Roman" w:hAnsi="宋体" w:eastAsia="宋体"/>
                <w:color w:val="auto"/>
                <w:position w:val="0"/>
                <w:sz w:val="24"/>
                <w:szCs w:val="24"/>
              </w:rPr>
              <w:t>，</w:t>
            </w:r>
            <w:r>
              <w:rPr>
                <w:rFonts w:hint="eastAsia" w:ascii="宋体" w:hAnsi="宋体" w:eastAsia="宋体"/>
                <w:color w:val="auto"/>
                <w:position w:val="0"/>
                <w:sz w:val="24"/>
                <w:szCs w:val="24"/>
                <w:lang w:val="en-US" w:eastAsia="zh-CN"/>
              </w:rPr>
              <w:t>山东省菏泽市鄄城县永定路与北环路交叉口南200米路东</w:t>
            </w:r>
            <w:r>
              <w:rPr>
                <w:rFonts w:hint="default" w:ascii="Times New Roman" w:hAnsi="宋体" w:eastAsia="宋体"/>
                <w:color w:val="auto"/>
                <w:position w:val="0"/>
                <w:sz w:val="24"/>
                <w:szCs w:val="24"/>
              </w:rPr>
              <w:t>。</w:t>
            </w:r>
            <w:r>
              <w:rPr>
                <w:rFonts w:hint="eastAsia" w:ascii="Times New Roman" w:hAnsi="宋体" w:eastAsia="宋体"/>
                <w:color w:val="auto"/>
                <w:position w:val="0"/>
                <w:sz w:val="24"/>
                <w:szCs w:val="24"/>
                <w:lang w:val="en-US" w:eastAsia="zh-CN"/>
              </w:rPr>
              <w:t>本项目通过租赁限制土地进行建设，租赁厂区中占地面积1300平方米，包括生产车间和生活办公区域。</w:t>
            </w:r>
            <w:r>
              <w:rPr>
                <w:rFonts w:hint="eastAsia" w:ascii="Times New Roman" w:hAnsi="宋体" w:eastAsia="宋体"/>
                <w:color w:val="FF0000"/>
                <w:position w:val="0"/>
                <w:sz w:val="24"/>
                <w:szCs w:val="24"/>
                <w:lang w:val="en-US" w:eastAsia="zh-CN"/>
              </w:rPr>
              <w:t xml:space="preserve">本项目定员20人， </w:t>
            </w:r>
            <w:r>
              <w:rPr>
                <w:rFonts w:hint="default" w:ascii="Times New Roman" w:hAnsi="宋体" w:eastAsia="宋体"/>
                <w:color w:val="FF0000"/>
                <w:position w:val="0"/>
                <w:sz w:val="24"/>
                <w:szCs w:val="24"/>
              </w:rPr>
              <w:t>每班8小时，年生产300天</w:t>
            </w:r>
            <w:r>
              <w:rPr>
                <w:rFonts w:hint="default" w:ascii="Times New Roman" w:hAnsi="宋体" w:eastAsia="宋体"/>
                <w:color w:val="auto"/>
                <w:position w:val="0"/>
                <w:sz w:val="24"/>
                <w:szCs w:val="24"/>
              </w:rPr>
              <w:t>。工程建设内容及与环评建设内容对比见下表2-1。</w:t>
            </w:r>
          </w:p>
          <w:p>
            <w:pPr>
              <w:pageBreakBefore w:val="0"/>
              <w:numPr>
                <w:ilvl w:val="0"/>
                <w:numId w:val="0"/>
              </w:numPr>
              <w:autoSpaceDE/>
              <w:autoSpaceDN/>
              <w:bidi w:val="0"/>
              <w:snapToGrid/>
              <w:spacing w:before="0" w:after="0" w:line="360" w:lineRule="auto"/>
              <w:ind w:right="0" w:firstLine="48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表2-1 工程建设内容及与环评建设内容对比一览表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216"/>
              <w:gridCol w:w="5530"/>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tcBorders>
                    <w:top w:val="single" w:color="auto" w:sz="4" w:space="0"/>
                    <w:left w:val="single" w:color="auto" w:sz="4" w:space="0"/>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1317" w:type="dxa"/>
                  <w:tcBorders>
                    <w:top w:val="single" w:color="auto" w:sz="4" w:space="0"/>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项目名称</w:t>
                  </w:r>
                </w:p>
              </w:tc>
              <w:tc>
                <w:tcPr>
                  <w:tcW w:w="6772" w:type="dxa"/>
                  <w:gridSpan w:val="2"/>
                  <w:tcBorders>
                    <w:top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71" w:type="dxa"/>
                  <w:tcBorders>
                    <w:top w:val="single" w:color="auto" w:sz="4" w:space="0"/>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317" w:type="dxa"/>
                  <w:tcBorders>
                    <w:top w:val="single" w:color="auto" w:sz="4" w:space="0"/>
                  </w:tcBorders>
                  <w:noWrap w:val="0"/>
                  <w:vAlign w:val="center"/>
                </w:tcPr>
                <w:p>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vertAlign w:val="baseline"/>
                      <w:lang w:val="en-US" w:eastAsia="zh-CN"/>
                    </w:rPr>
                    <w:t>生产车间</w:t>
                  </w:r>
                </w:p>
              </w:tc>
              <w:tc>
                <w:tcPr>
                  <w:tcW w:w="6103" w:type="dxa"/>
                  <w:tcBorders>
                    <w:top w:val="single" w:color="auto" w:sz="4" w:space="0"/>
                    <w:right w:val="single" w:color="auto" w:sz="4" w:space="0"/>
                  </w:tcBorders>
                  <w:noWrap w:val="0"/>
                  <w:vAlign w:val="center"/>
                </w:tcPr>
                <w:p>
                  <w:pPr>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1F，建筑面积</w:t>
                  </w:r>
                  <w:r>
                    <w:rPr>
                      <w:rFonts w:hint="eastAsia" w:ascii="Times New Roman" w:hAnsi="Times New Roman" w:cs="Times New Roman"/>
                      <w:color w:val="auto"/>
                      <w:sz w:val="21"/>
                      <w:szCs w:val="21"/>
                      <w:lang w:val="en-US" w:eastAsia="zh-CN"/>
                    </w:rPr>
                    <w:t>1260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，长</w:t>
                  </w:r>
                  <w:r>
                    <w:rPr>
                      <w:rFonts w:hint="default" w:ascii="Times New Roman" w:hAnsi="Times New Roman" w:cs="Times New Roman"/>
                      <w:color w:val="auto"/>
                      <w:sz w:val="21"/>
                      <w:szCs w:val="21"/>
                      <w:lang w:val="en-US" w:eastAsia="zh-CN"/>
                    </w:rPr>
                    <w:t>55</w:t>
                  </w:r>
                  <w:r>
                    <w:rPr>
                      <w:rFonts w:hint="default" w:ascii="Times New Roman" w:hAnsi="Times New Roman" w:cs="Times New Roman"/>
                      <w:color w:val="auto"/>
                      <w:sz w:val="21"/>
                      <w:szCs w:val="21"/>
                    </w:rPr>
                    <w:t>m，宽</w:t>
                  </w:r>
                  <w:r>
                    <w:rPr>
                      <w:rFonts w:hint="default"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m，高</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m，用于</w:t>
                  </w:r>
                  <w:r>
                    <w:rPr>
                      <w:rFonts w:hint="default" w:ascii="Times New Roman" w:hAnsi="Times New Roman" w:cs="Times New Roman"/>
                      <w:color w:val="auto"/>
                      <w:sz w:val="21"/>
                      <w:szCs w:val="21"/>
                      <w:lang w:eastAsia="zh-CN"/>
                    </w:rPr>
                    <w:t>发制品加工生产</w:t>
                  </w:r>
                  <w:r>
                    <w:rPr>
                      <w:rFonts w:hint="default" w:ascii="Times New Roman" w:hAnsi="Times New Roman" w:cs="Times New Roman"/>
                      <w:bCs/>
                      <w:color w:val="auto"/>
                      <w:sz w:val="21"/>
                      <w:szCs w:val="21"/>
                    </w:rPr>
                    <w:t>。</w:t>
                  </w:r>
                </w:p>
              </w:tc>
              <w:tc>
                <w:tcPr>
                  <w:tcW w:w="669" w:type="dxa"/>
                  <w:tcBorders>
                    <w:top w:val="single" w:color="auto" w:sz="4" w:space="0"/>
                    <w:right w:val="single" w:color="auto" w:sz="4" w:space="0"/>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317" w:type="dxa"/>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固废室</w:t>
                  </w:r>
                </w:p>
              </w:tc>
              <w:tc>
                <w:tcPr>
                  <w:tcW w:w="6103" w:type="dxa"/>
                  <w:tcBorders>
                    <w:right w:val="single" w:color="auto" w:sz="4" w:space="0"/>
                  </w:tcBorders>
                  <w:noWrap w:val="0"/>
                  <w:vAlign w:val="center"/>
                </w:tcPr>
                <w:p>
                  <w:pPr>
                    <w:adjustRightInd w:val="0"/>
                    <w:snapToGrid w:val="0"/>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rPr>
                    <w:t>1</w:t>
                  </w:r>
                  <w:r>
                    <w:rPr>
                      <w:rFonts w:hint="default" w:ascii="Times New Roman" w:hAnsi="Times New Roman" w:cs="Times New Roman"/>
                      <w:color w:val="auto"/>
                      <w:sz w:val="21"/>
                      <w:szCs w:val="21"/>
                    </w:rPr>
                    <w:t>F</w:t>
                  </w:r>
                  <w:r>
                    <w:rPr>
                      <w:rFonts w:hint="default" w:ascii="Times New Roman" w:hAnsi="Times New Roman" w:cs="Times New Roman"/>
                      <w:color w:val="auto"/>
                      <w:spacing w:val="6"/>
                      <w:sz w:val="21"/>
                      <w:szCs w:val="21"/>
                      <w:highlight w:val="none"/>
                      <w:lang w:eastAsia="zh-CN"/>
                    </w:rPr>
                    <w:t>，建筑面积</w:t>
                  </w:r>
                  <w:r>
                    <w:rPr>
                      <w:rFonts w:hint="eastAsia" w:ascii="Times New Roman" w:hAnsi="Times New Roman" w:cs="Times New Roman"/>
                      <w:color w:val="auto"/>
                      <w:spacing w:val="6"/>
                      <w:sz w:val="21"/>
                      <w:szCs w:val="21"/>
                      <w:highlight w:val="none"/>
                      <w:lang w:val="en-US" w:eastAsia="zh-CN"/>
                    </w:rPr>
                    <w:t>2</w:t>
                  </w:r>
                  <w:r>
                    <w:rPr>
                      <w:rFonts w:hint="default" w:ascii="Times New Roman" w:hAnsi="Times New Roman" w:cs="Times New Roman"/>
                      <w:color w:val="auto"/>
                      <w:spacing w:val="6"/>
                      <w:sz w:val="21"/>
                      <w:szCs w:val="21"/>
                      <w:highlight w:val="none"/>
                      <w:lang w:val="en-US" w:eastAsia="zh-CN"/>
                    </w:rPr>
                    <w:t>0</w:t>
                  </w:r>
                  <w:r>
                    <w:rPr>
                      <w:rFonts w:hint="default" w:ascii="Times New Roman" w:hAnsi="Times New Roman" w:cs="Times New Roman"/>
                      <w:color w:val="auto"/>
                      <w:spacing w:val="6"/>
                      <w:sz w:val="21"/>
                      <w:szCs w:val="21"/>
                      <w:highlight w:val="none"/>
                    </w:rPr>
                    <w:t>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vertAlign w:val="baseline"/>
                      <w:lang w:eastAsia="zh-CN"/>
                    </w:rPr>
                    <w:t>，用于存放废包装袋和空包装桶</w:t>
                  </w:r>
                </w:p>
              </w:tc>
              <w:tc>
                <w:tcPr>
                  <w:tcW w:w="669" w:type="dxa"/>
                  <w:vMerge w:val="restart"/>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131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危废</w:t>
                  </w:r>
                  <w:r>
                    <w:rPr>
                      <w:rFonts w:hint="default" w:ascii="Times New Roman" w:hAnsi="Times New Roman" w:cs="Times New Roman"/>
                      <w:color w:val="auto"/>
                      <w:sz w:val="21"/>
                      <w:szCs w:val="21"/>
                      <w:highlight w:val="none"/>
                      <w:lang w:eastAsia="zh-CN"/>
                    </w:rPr>
                    <w:t>暂存间</w:t>
                  </w:r>
                </w:p>
              </w:tc>
              <w:tc>
                <w:tcPr>
                  <w:tcW w:w="6103" w:type="dxa"/>
                  <w:tcBorders>
                    <w:right w:val="single" w:color="auto" w:sz="4" w:space="0"/>
                  </w:tcBorders>
                  <w:noWrap w:val="0"/>
                  <w:vAlign w:val="center"/>
                </w:tcPr>
                <w:p>
                  <w:pPr>
                    <w:adjustRightInd w:val="0"/>
                    <w:snapToGrid w:val="0"/>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1</w:t>
                  </w:r>
                  <w:r>
                    <w:rPr>
                      <w:rFonts w:hint="default" w:ascii="Times New Roman" w:hAnsi="Times New Roman" w:cs="Times New Roman"/>
                      <w:color w:val="auto"/>
                      <w:sz w:val="21"/>
                      <w:szCs w:val="21"/>
                    </w:rPr>
                    <w:t>F</w:t>
                  </w:r>
                  <w:r>
                    <w:rPr>
                      <w:rFonts w:hint="default" w:ascii="Times New Roman" w:hAnsi="Times New Roman" w:cs="Times New Roman"/>
                      <w:color w:val="auto"/>
                      <w:spacing w:val="6"/>
                      <w:sz w:val="21"/>
                      <w:szCs w:val="21"/>
                      <w:highlight w:val="none"/>
                    </w:rPr>
                    <w:t>，建筑面积</w:t>
                  </w:r>
                  <w:r>
                    <w:rPr>
                      <w:rFonts w:hint="default" w:ascii="Times New Roman" w:hAnsi="Times New Roman" w:cs="Times New Roman"/>
                      <w:color w:val="auto"/>
                      <w:spacing w:val="6"/>
                      <w:sz w:val="21"/>
                      <w:szCs w:val="21"/>
                      <w:highlight w:val="none"/>
                      <w:lang w:val="en-US" w:eastAsia="zh-CN"/>
                    </w:rPr>
                    <w:t>2</w:t>
                  </w:r>
                  <w:r>
                    <w:rPr>
                      <w:rFonts w:hint="default" w:ascii="Times New Roman" w:hAnsi="Times New Roman" w:cs="Times New Roman"/>
                      <w:color w:val="auto"/>
                      <w:spacing w:val="6"/>
                      <w:sz w:val="21"/>
                      <w:szCs w:val="21"/>
                      <w:highlight w:val="none"/>
                    </w:rPr>
                    <w:t>0m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，用于暂存危险</w:t>
                  </w:r>
                  <w:r>
                    <w:rPr>
                      <w:rFonts w:hint="default" w:ascii="Times New Roman" w:hAnsi="Times New Roman" w:cs="Times New Roman"/>
                      <w:color w:val="auto"/>
                      <w:spacing w:val="6"/>
                      <w:sz w:val="21"/>
                      <w:szCs w:val="21"/>
                      <w:highlight w:val="none"/>
                      <w:lang w:eastAsia="zh-CN"/>
                    </w:rPr>
                    <w:t>废物</w:t>
                  </w:r>
                  <w:r>
                    <w:rPr>
                      <w:rFonts w:hint="default" w:ascii="Times New Roman" w:hAnsi="Times New Roman" w:cs="Times New Roman"/>
                      <w:color w:val="auto"/>
                      <w:spacing w:val="6"/>
                      <w:sz w:val="21"/>
                      <w:szCs w:val="21"/>
                      <w:highlight w:val="none"/>
                    </w:rPr>
                    <w:t>。</w:t>
                  </w:r>
                </w:p>
              </w:tc>
              <w:tc>
                <w:tcPr>
                  <w:tcW w:w="669" w:type="dxa"/>
                  <w:vMerge w:val="continue"/>
                  <w:tcBorders>
                    <w:righ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restart"/>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317" w:type="dxa"/>
                  <w:noWrap w:val="0"/>
                  <w:vAlign w:val="center"/>
                </w:tcPr>
                <w:p>
                  <w:pPr>
                    <w:pStyle w:val="124"/>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6772" w:type="dxa"/>
                  <w:gridSpan w:val="2"/>
                  <w:tcBorders>
                    <w:right w:val="single" w:color="auto" w:sz="4" w:space="0"/>
                  </w:tcBorders>
                  <w:noWrap w:val="0"/>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w:t>
                  </w:r>
                  <w:r>
                    <w:rPr>
                      <w:rFonts w:hint="default" w:ascii="Times New Roman" w:hAnsi="Times New Roman" w:cs="Times New Roman"/>
                      <w:color w:val="FF0000"/>
                      <w:sz w:val="21"/>
                      <w:szCs w:val="21"/>
                    </w:rPr>
                    <w:t>源于自来水，总用水</w:t>
                  </w:r>
                  <w:r>
                    <w:rPr>
                      <w:rFonts w:hint="default" w:ascii="Times New Roman" w:hAnsi="Times New Roman" w:cs="Times New Roman"/>
                      <w:color w:val="FF0000"/>
                      <w:sz w:val="21"/>
                      <w:szCs w:val="21"/>
                      <w:highlight w:val="none"/>
                    </w:rPr>
                    <w:t>量</w:t>
                  </w:r>
                  <w:r>
                    <w:rPr>
                      <w:rFonts w:hint="eastAsia" w:ascii="Times New Roman" w:hAnsi="Times New Roman" w:cs="Times New Roman"/>
                      <w:color w:val="FF0000"/>
                      <w:sz w:val="21"/>
                      <w:szCs w:val="21"/>
                      <w:highlight w:val="none"/>
                      <w:lang w:val="en-US" w:eastAsia="zh-CN"/>
                    </w:rPr>
                    <w:t>1020</w:t>
                  </w:r>
                  <w:r>
                    <w:rPr>
                      <w:rFonts w:hint="default" w:ascii="Times New Roman" w:hAnsi="Times New Roman" w:cs="Times New Roman"/>
                      <w:color w:val="FF0000"/>
                      <w:sz w:val="21"/>
                      <w:szCs w:val="21"/>
                      <w:highlight w:val="none"/>
                    </w:rPr>
                    <w:t>m</w:t>
                  </w:r>
                  <w:r>
                    <w:rPr>
                      <w:rFonts w:hint="default" w:ascii="Times New Roman" w:hAnsi="Times New Roman" w:cs="Times New Roman"/>
                      <w:color w:val="FF0000"/>
                      <w:sz w:val="21"/>
                      <w:szCs w:val="21"/>
                      <w:highlight w:val="none"/>
                      <w:vertAlign w:val="superscript"/>
                    </w:rPr>
                    <w:t>3</w:t>
                  </w:r>
                  <w:r>
                    <w:rPr>
                      <w:rFonts w:hint="default" w:ascii="Times New Roman" w:hAnsi="Times New Roman" w:cs="Times New Roman"/>
                      <w:color w:val="FF000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1317" w:type="dxa"/>
                  <w:noWrap w:val="0"/>
                  <w:vAlign w:val="center"/>
                </w:tcPr>
                <w:p>
                  <w:pPr>
                    <w:pStyle w:val="124"/>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6772" w:type="dxa"/>
                  <w:gridSpan w:val="2"/>
                  <w:tcBorders>
                    <w:right w:val="single" w:color="auto" w:sz="4" w:space="0"/>
                  </w:tcBorders>
                  <w:noWrap w:val="0"/>
                  <w:vAlign w:val="center"/>
                </w:tcPr>
                <w:p>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厂区实行</w:t>
                  </w:r>
                  <w:r>
                    <w:rPr>
                      <w:rFonts w:hint="default" w:ascii="Times New Roman" w:hAnsi="Times New Roman" w:cs="Times New Roman"/>
                      <w:color w:val="auto"/>
                      <w:sz w:val="21"/>
                      <w:szCs w:val="21"/>
                    </w:rPr>
                    <w:t>雨污分流制</w:t>
                  </w:r>
                  <w:r>
                    <w:rPr>
                      <w:rFonts w:hint="default" w:ascii="Times New Roman" w:hAnsi="Times New Roman" w:cs="Times New Roman"/>
                      <w:color w:val="auto"/>
                      <w:sz w:val="21"/>
                      <w:szCs w:val="21"/>
                      <w:lang w:eastAsia="zh-CN"/>
                    </w:rPr>
                    <w:t>，雨水经雨水管网排入园区雨水管网。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1317"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6772" w:type="dxa"/>
                  <w:gridSpan w:val="2"/>
                  <w:tcBorders>
                    <w:right w:val="single" w:color="auto" w:sz="4" w:space="0"/>
                  </w:tcBorders>
                  <w:noWrap w:val="0"/>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w:t>
                  </w:r>
                  <w:r>
                    <w:rPr>
                      <w:rFonts w:hint="eastAsia" w:ascii="Times New Roman" w:hAnsi="Times New Roman" w:cs="Times New Roman"/>
                      <w:color w:val="auto"/>
                      <w:sz w:val="21"/>
                      <w:szCs w:val="21"/>
                      <w:lang w:eastAsia="zh-CN"/>
                    </w:rPr>
                    <w:t>凤凰镇</w:t>
                  </w:r>
                  <w:r>
                    <w:rPr>
                      <w:rFonts w:hint="default" w:ascii="Times New Roman" w:hAnsi="Times New Roman" w:cs="Times New Roman"/>
                      <w:color w:val="auto"/>
                      <w:sz w:val="21"/>
                      <w:szCs w:val="21"/>
                    </w:rPr>
                    <w:t>供电所供电，总用电量</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万kw·h/a。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971" w:type="dxa"/>
                  <w:vMerge w:val="restart"/>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317"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6772" w:type="dxa"/>
                  <w:gridSpan w:val="2"/>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w:t>
                  </w:r>
                  <w:r>
                    <w:rPr>
                      <w:rFonts w:hint="eastAsia" w:ascii="Times New Roman" w:hAnsi="Times New Roman" w:cs="Times New Roman"/>
                      <w:color w:val="FF0000"/>
                      <w:sz w:val="21"/>
                      <w:szCs w:val="21"/>
                      <w:lang w:eastAsia="zh-CN"/>
                    </w:rPr>
                    <w:t>生产车间</w:t>
                  </w:r>
                  <w:r>
                    <w:rPr>
                      <w:rFonts w:hint="default" w:ascii="Times New Roman" w:hAnsi="Times New Roman" w:cs="Times New Roman"/>
                      <w:color w:val="FF0000"/>
                      <w:sz w:val="21"/>
                      <w:szCs w:val="21"/>
                      <w:lang w:eastAsia="zh-CN"/>
                    </w:rPr>
                    <w:t>配酸</w:t>
                  </w:r>
                  <w:r>
                    <w:rPr>
                      <w:rFonts w:hint="eastAsia" w:ascii="Times New Roman" w:hAnsi="Times New Roman" w:cs="Times New Roman"/>
                      <w:color w:val="FF0000"/>
                      <w:sz w:val="21"/>
                      <w:szCs w:val="21"/>
                      <w:lang w:eastAsia="zh-CN"/>
                    </w:rPr>
                    <w:t>、</w:t>
                  </w:r>
                  <w:r>
                    <w:rPr>
                      <w:rFonts w:hint="default" w:ascii="Times New Roman" w:hAnsi="Times New Roman" w:cs="Times New Roman"/>
                      <w:color w:val="FF0000"/>
                      <w:sz w:val="21"/>
                      <w:szCs w:val="21"/>
                      <w:lang w:eastAsia="zh-CN"/>
                    </w:rPr>
                    <w:t>酸</w:t>
                  </w:r>
                  <w:r>
                    <w:rPr>
                      <w:rFonts w:hint="default" w:ascii="Times New Roman" w:hAnsi="Times New Roman" w:cs="Times New Roman"/>
                      <w:color w:val="auto"/>
                      <w:sz w:val="21"/>
                      <w:szCs w:val="21"/>
                      <w:lang w:eastAsia="zh-CN"/>
                    </w:rPr>
                    <w:t>洗浸泡工段产生硫酸雾</w:t>
                  </w:r>
                  <w:r>
                    <w:rPr>
                      <w:rFonts w:hint="eastAsia" w:ascii="Times New Roman" w:hAnsi="Times New Roman" w:cs="Times New Roman"/>
                      <w:color w:val="auto"/>
                      <w:sz w:val="21"/>
                      <w:szCs w:val="21"/>
                      <w:lang w:eastAsia="zh-CN"/>
                    </w:rPr>
                    <w:t>均</w:t>
                  </w:r>
                  <w:r>
                    <w:rPr>
                      <w:rFonts w:hint="default" w:ascii="Times New Roman" w:hAnsi="Times New Roman" w:cs="Times New Roman"/>
                      <w:color w:val="auto"/>
                      <w:sz w:val="21"/>
                      <w:szCs w:val="21"/>
                      <w:lang w:eastAsia="zh-CN"/>
                    </w:rPr>
                    <w:t>经水浴锅上集气罩收集后引入</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碱液喷淋塔</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进行吸收处理，引风机风量为</w:t>
                  </w:r>
                  <w:r>
                    <w:rPr>
                      <w:rFonts w:hint="default" w:ascii="Times New Roman" w:hAnsi="Times New Roman" w:cs="Times New Roman"/>
                      <w:color w:val="auto"/>
                      <w:sz w:val="21"/>
                      <w:szCs w:val="21"/>
                      <w:lang w:val="en-US" w:eastAsia="zh-CN"/>
                    </w:rPr>
                    <w:t>5000m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lang w:eastAsia="zh-CN"/>
                    </w:rPr>
                    <w:t>，装置收集率不低于</w:t>
                  </w:r>
                  <w:r>
                    <w:rPr>
                      <w:rFonts w:hint="default" w:ascii="Times New Roman" w:hAnsi="Times New Roman" w:cs="Times New Roman"/>
                      <w:color w:val="auto"/>
                      <w:sz w:val="21"/>
                      <w:szCs w:val="21"/>
                      <w:lang w:val="en-US" w:eastAsia="zh-CN"/>
                    </w:rPr>
                    <w:t>90%，去除率不低于90%，</w:t>
                  </w:r>
                  <w:r>
                    <w:rPr>
                      <w:rFonts w:hint="default" w:ascii="Times New Roman" w:hAnsi="Times New Roman" w:cs="Times New Roman"/>
                      <w:color w:val="FF0000"/>
                      <w:sz w:val="21"/>
                      <w:szCs w:val="21"/>
                      <w:lang w:val="en-US" w:eastAsia="zh-CN"/>
                    </w:rPr>
                    <w:t>处理后的废气</w:t>
                  </w:r>
                  <w:r>
                    <w:rPr>
                      <w:rFonts w:hint="eastAsia" w:ascii="Times New Roman" w:hAnsi="Times New Roman" w:cs="Times New Roman"/>
                      <w:color w:val="FF0000"/>
                      <w:sz w:val="21"/>
                      <w:szCs w:val="21"/>
                      <w:lang w:val="en-US" w:eastAsia="zh-CN"/>
                    </w:rPr>
                    <w:t>由车间</w:t>
                  </w:r>
                  <w:r>
                    <w:rPr>
                      <w:rFonts w:hint="default" w:ascii="Times New Roman" w:hAnsi="Times New Roman" w:cs="Times New Roman"/>
                      <w:color w:val="FF0000"/>
                      <w:sz w:val="21"/>
                      <w:szCs w:val="21"/>
                      <w:lang w:val="en-US" w:eastAsia="zh-CN"/>
                    </w:rPr>
                    <w:t>15m高排气筒P1</w:t>
                  </w:r>
                  <w:r>
                    <w:rPr>
                      <w:rFonts w:hint="eastAsia" w:ascii="Times New Roman" w:hAnsi="Times New Roman" w:cs="Times New Roman"/>
                      <w:color w:val="FF0000"/>
                      <w:sz w:val="21"/>
                      <w:szCs w:val="21"/>
                      <w:lang w:val="en-US" w:eastAsia="zh-CN"/>
                    </w:rPr>
                    <w:t>排放</w:t>
                  </w:r>
                  <w:r>
                    <w:rPr>
                      <w:rFonts w:hint="default" w:ascii="Times New Roman" w:hAnsi="Times New Roman" w:cs="Times New Roman"/>
                      <w:color w:val="FF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w:t>
                  </w:r>
                  <w:r>
                    <w:rPr>
                      <w:rFonts w:hint="eastAsia" w:ascii="Times New Roman" w:hAnsi="Times New Roman" w:cs="Times New Roman"/>
                      <w:color w:val="auto"/>
                      <w:sz w:val="21"/>
                      <w:szCs w:val="21"/>
                      <w:lang w:eastAsia="zh-CN"/>
                    </w:rPr>
                    <w:t>生产车间</w:t>
                  </w:r>
                  <w:r>
                    <w:rPr>
                      <w:rFonts w:hint="default" w:ascii="Times New Roman" w:hAnsi="Times New Roman" w:cs="Times New Roman"/>
                      <w:color w:val="auto"/>
                      <w:sz w:val="21"/>
                      <w:szCs w:val="21"/>
                      <w:lang w:eastAsia="zh-CN"/>
                    </w:rPr>
                    <w:t>人发中和工段产生的含氨废气分别经水浴锅上集气罩收集后引入</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稀盐酸喷淋塔</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进行吸收处理，引风机风量为</w:t>
                  </w:r>
                  <w:r>
                    <w:rPr>
                      <w:rFonts w:hint="default" w:ascii="Times New Roman" w:hAnsi="Times New Roman" w:cs="Times New Roman"/>
                      <w:color w:val="auto"/>
                      <w:sz w:val="21"/>
                      <w:szCs w:val="21"/>
                      <w:lang w:val="en-US" w:eastAsia="zh-CN"/>
                    </w:rPr>
                    <w:t>5000m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lang w:eastAsia="zh-CN"/>
                    </w:rPr>
                    <w:t>，装置收集率不低于</w:t>
                  </w:r>
                  <w:r>
                    <w:rPr>
                      <w:rFonts w:hint="default" w:ascii="Times New Roman" w:hAnsi="Times New Roman" w:cs="Times New Roman"/>
                      <w:color w:val="auto"/>
                      <w:sz w:val="21"/>
                      <w:szCs w:val="21"/>
                      <w:lang w:val="en-US" w:eastAsia="zh-CN"/>
                    </w:rPr>
                    <w:t>90%，去除率不低于90%，处理后的废气</w:t>
                  </w:r>
                  <w:r>
                    <w:rPr>
                      <w:rFonts w:hint="eastAsia" w:ascii="Times New Roman" w:hAnsi="Times New Roman" w:cs="Times New Roman"/>
                      <w:color w:val="auto"/>
                      <w:sz w:val="21"/>
                      <w:szCs w:val="21"/>
                      <w:lang w:val="en-US" w:eastAsia="zh-CN"/>
                    </w:rPr>
                    <w:t>分别由各个车间</w:t>
                  </w:r>
                  <w:r>
                    <w:rPr>
                      <w:rFonts w:hint="default" w:ascii="Times New Roman" w:hAnsi="Times New Roman" w:cs="Times New Roman"/>
                      <w:color w:val="auto"/>
                      <w:sz w:val="21"/>
                      <w:szCs w:val="21"/>
                      <w:lang w:val="en-US" w:eastAsia="zh-CN"/>
                    </w:rPr>
                    <w:t>15m高排气筒P</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未被收集的废气通过车间密闭加强废气收集效率减少其无组织排放。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continue"/>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1317"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772" w:type="dxa"/>
                  <w:gridSpan w:val="2"/>
                  <w:tcBorders>
                    <w:right w:val="single" w:color="auto" w:sz="4" w:space="0"/>
                  </w:tcBorders>
                  <w:noWrap w:val="0"/>
                  <w:vAlign w:val="center"/>
                </w:tcPr>
                <w:p>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vertAlign w:val="baseline"/>
                      <w:lang w:val="en-US" w:eastAsia="zh-CN"/>
                    </w:rPr>
                    <w:t>生活污水经化粪池处理后与生产废水</w:t>
                  </w:r>
                  <w:r>
                    <w:rPr>
                      <w:rFonts w:hint="eastAsia" w:ascii="Times New Roman" w:hAnsi="Times New Roman" w:cs="Times New Roman"/>
                      <w:color w:val="auto"/>
                      <w:sz w:val="21"/>
                      <w:szCs w:val="21"/>
                      <w:highlight w:val="none"/>
                      <w:vertAlign w:val="baseline"/>
                      <w:lang w:val="en-US" w:eastAsia="zh-CN"/>
                    </w:rPr>
                    <w:t>依托鄄城裕昌发制品有限公司</w:t>
                  </w:r>
                  <w:r>
                    <w:rPr>
                      <w:rFonts w:hint="default" w:ascii="Times New Roman" w:hAnsi="Times New Roman" w:cs="Times New Roman"/>
                      <w:color w:val="auto"/>
                      <w:sz w:val="21"/>
                      <w:szCs w:val="21"/>
                      <w:highlight w:val="none"/>
                      <w:vertAlign w:val="baseline"/>
                      <w:lang w:val="en-US" w:eastAsia="zh-CN"/>
                    </w:rPr>
                    <w:t>厂区污水处理站预处理后一起排入</w:t>
                  </w:r>
                  <w:r>
                    <w:rPr>
                      <w:rFonts w:hint="default" w:ascii="Times New Roman" w:hAnsi="Times New Roman" w:cs="Times New Roman"/>
                      <w:color w:val="auto"/>
                      <w:sz w:val="21"/>
                      <w:szCs w:val="21"/>
                      <w:lang w:eastAsia="zh-CN"/>
                    </w:rPr>
                    <w:t>鄄城县第二人发产业中心</w:t>
                  </w:r>
                  <w:r>
                    <w:rPr>
                      <w:rFonts w:hint="default" w:ascii="Times New Roman" w:hAnsi="Times New Roman" w:cs="Times New Roman"/>
                      <w:color w:val="auto"/>
                      <w:sz w:val="21"/>
                      <w:szCs w:val="21"/>
                    </w:rPr>
                    <w:t>污水处理厂</w:t>
                  </w:r>
                  <w:r>
                    <w:rPr>
                      <w:rFonts w:hint="default" w:ascii="Times New Roman" w:hAnsi="Times New Roman" w:cs="Times New Roman"/>
                      <w:color w:val="auto"/>
                      <w:sz w:val="21"/>
                      <w:szCs w:val="21"/>
                      <w:lang w:eastAsia="zh-CN"/>
                    </w:rPr>
                    <w:t>进行处理，经鄄城县第二人发产业中心</w:t>
                  </w:r>
                  <w:r>
                    <w:rPr>
                      <w:rFonts w:hint="default" w:ascii="Times New Roman" w:hAnsi="Times New Roman" w:cs="Times New Roman"/>
                      <w:color w:val="auto"/>
                      <w:sz w:val="21"/>
                      <w:szCs w:val="21"/>
                    </w:rPr>
                    <w:t>污水处理厂</w:t>
                  </w:r>
                  <w:r>
                    <w:rPr>
                      <w:rFonts w:hint="default" w:ascii="Times New Roman" w:hAnsi="Times New Roman" w:cs="Times New Roman"/>
                      <w:color w:val="auto"/>
                      <w:sz w:val="21"/>
                      <w:szCs w:val="21"/>
                      <w:lang w:eastAsia="zh-CN"/>
                    </w:rPr>
                    <w:t>处理后排入鄄城县经济开发区污水处理厂进一步处理，处理达标后排入箕山河。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continue"/>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1317"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6772" w:type="dxa"/>
                  <w:gridSpan w:val="2"/>
                  <w:tcBorders>
                    <w:right w:val="single" w:color="auto" w:sz="4" w:space="0"/>
                  </w:tcBorders>
                  <w:noWrap w:val="0"/>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基础减震、车间隔声、消声器消声等。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continue"/>
                  <w:tcBorders>
                    <w:left w:val="single" w:color="auto" w:sz="4" w:space="0"/>
                  </w:tcBorders>
                  <w:noWrap w:val="0"/>
                  <w:vAlign w:val="center"/>
                </w:tcPr>
                <w:p>
                  <w:pPr>
                    <w:adjustRightInd w:val="0"/>
                    <w:snapToGrid w:val="0"/>
                    <w:jc w:val="center"/>
                    <w:rPr>
                      <w:rFonts w:hint="default" w:ascii="Times New Roman" w:hAnsi="Times New Roman" w:cs="Times New Roman"/>
                      <w:color w:val="auto"/>
                      <w:sz w:val="21"/>
                      <w:szCs w:val="21"/>
                    </w:rPr>
                  </w:pPr>
                </w:p>
              </w:tc>
              <w:tc>
                <w:tcPr>
                  <w:tcW w:w="1317" w:type="dxa"/>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6772" w:type="dxa"/>
                  <w:gridSpan w:val="2"/>
                  <w:tcBorders>
                    <w:right w:val="single" w:color="auto" w:sz="4" w:space="0"/>
                  </w:tcBorders>
                  <w:noWrap w:val="0"/>
                  <w:vAlign w:val="center"/>
                </w:tcPr>
                <w:p>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项目固体废物</w:t>
                  </w:r>
                  <w:r>
                    <w:rPr>
                      <w:rFonts w:hint="default" w:ascii="Times New Roman" w:hAnsi="Times New Roman" w:cs="Times New Roman"/>
                      <w:color w:val="auto"/>
                      <w:sz w:val="21"/>
                      <w:szCs w:val="21"/>
                      <w:lang w:eastAsia="zh-CN"/>
                    </w:rPr>
                    <w:t>主要为碎发下</w:t>
                  </w:r>
                  <w:r>
                    <w:rPr>
                      <w:rFonts w:hint="default" w:ascii="Times New Roman" w:hAnsi="Times New Roman" w:cs="Times New Roman"/>
                      <w:color w:val="auto"/>
                      <w:sz w:val="21"/>
                      <w:szCs w:val="21"/>
                    </w:rPr>
                    <w:t>角料、</w:t>
                  </w:r>
                  <w:r>
                    <w:rPr>
                      <w:rFonts w:hint="default" w:ascii="Times New Roman" w:hAnsi="Times New Roman" w:cs="Times New Roman"/>
                      <w:color w:val="auto"/>
                      <w:sz w:val="21"/>
                      <w:szCs w:val="21"/>
                      <w:lang w:eastAsia="zh-CN"/>
                    </w:rPr>
                    <w:t>厂区污水预处理站污泥</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废离子交换树脂</w:t>
                  </w:r>
                  <w:r>
                    <w:rPr>
                      <w:rFonts w:hint="default" w:ascii="Times New Roman" w:hAnsi="Times New Roman" w:cs="Times New Roman"/>
                      <w:color w:val="auto"/>
                      <w:sz w:val="21"/>
                      <w:szCs w:val="21"/>
                    </w:rPr>
                    <w:t>及职工生活垃圾</w:t>
                  </w:r>
                  <w:r>
                    <w:rPr>
                      <w:rFonts w:hint="default" w:ascii="Times New Roman" w:hAnsi="Times New Roman" w:cs="Times New Roman"/>
                      <w:color w:val="auto"/>
                      <w:sz w:val="21"/>
                      <w:szCs w:val="21"/>
                      <w:lang w:eastAsia="zh-CN"/>
                    </w:rPr>
                    <w:t>。碎发下角料收集后外售处置；厂区污水预处理站污泥及废离子交换树脂收集后暂存于危废暂存间，定期交由资质单位处置；</w:t>
                  </w:r>
                  <w:r>
                    <w:rPr>
                      <w:rFonts w:hint="default" w:ascii="Times New Roman" w:hAnsi="Times New Roman" w:cs="Times New Roman"/>
                      <w:color w:val="auto"/>
                      <w:sz w:val="21"/>
                      <w:szCs w:val="21"/>
                    </w:rPr>
                    <w:t>生活垃圾收集后交由当地环卫部门清运处置</w:t>
                  </w:r>
                  <w:r>
                    <w:rPr>
                      <w:rFonts w:hint="default" w:ascii="Times New Roman" w:hAnsi="Times New Roman" w:cs="Times New Roman"/>
                      <w:color w:val="auto"/>
                      <w:sz w:val="21"/>
                      <w:szCs w:val="21"/>
                      <w:lang w:eastAsia="zh-CN"/>
                    </w:rPr>
                    <w:t>。</w:t>
                  </w:r>
                </w:p>
              </w:tc>
            </w:tr>
          </w:tbl>
          <w:p>
            <w:pPr>
              <w:numPr>
                <w:ilvl w:val="0"/>
                <w:numId w:val="0"/>
              </w:numPr>
              <w:wordWrap w:val="0"/>
              <w:spacing w:before="0" w:after="0" w:line="240" w:lineRule="auto"/>
              <w:ind w:right="0" w:firstLine="0"/>
              <w:jc w:val="center"/>
              <w:rPr>
                <w:rFonts w:hint="default" w:ascii="宋体" w:hAnsi="宋体" w:eastAsia="宋体"/>
                <w:color w:val="auto"/>
                <w:position w:val="0"/>
                <w:sz w:val="20"/>
                <w:szCs w:val="20"/>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表2-2主要设备一览表</w:t>
            </w:r>
          </w:p>
          <w:tbl>
            <w:tblPr>
              <w:tblStyle w:val="33"/>
              <w:tblW w:w="814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275"/>
              <w:gridCol w:w="2246"/>
              <w:gridCol w:w="1247"/>
              <w:gridCol w:w="814"/>
              <w:gridCol w:w="1313"/>
              <w:gridCol w:w="125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序号</w:t>
                  </w:r>
                </w:p>
              </w:tc>
              <w:tc>
                <w:tcPr>
                  <w:tcW w:w="2246"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设备名称</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型号</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单位</w:t>
                  </w:r>
                </w:p>
              </w:tc>
              <w:tc>
                <w:tcPr>
                  <w:tcW w:w="1313"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环评数量</w:t>
                  </w:r>
                </w:p>
              </w:tc>
              <w:tc>
                <w:tcPr>
                  <w:tcW w:w="1253"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000000" w:themeColor="text1"/>
                      <w:position w:val="0"/>
                      <w:sz w:val="21"/>
                      <w:szCs w:val="21"/>
                      <w14:textFill>
                        <w14:solidFill>
                          <w14:schemeClr w14:val="tx1"/>
                        </w14:solidFill>
                      </w14:textFill>
                    </w:rPr>
                  </w:pPr>
                  <w:r>
                    <w:rPr>
                      <w:rFonts w:hint="default" w:ascii="Times New Roman" w:hAnsi="宋体" w:eastAsia="宋体"/>
                      <w:color w:val="000000" w:themeColor="text1"/>
                      <w:position w:val="0"/>
                      <w:sz w:val="21"/>
                      <w:szCs w:val="21"/>
                      <w14:textFill>
                        <w14:solidFill>
                          <w14:schemeClr w14:val="tx1"/>
                        </w14:solidFill>
                      </w14:textFill>
                    </w:rPr>
                    <w:t>实际数量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1</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烘干室</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套</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4</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vertAlign w:val="baseli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2</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脱水机</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台</w:t>
                  </w:r>
                </w:p>
              </w:tc>
              <w:tc>
                <w:tcPr>
                  <w:tcW w:w="1313" w:type="dxa"/>
                  <w:vAlign w:val="top"/>
                </w:tcPr>
                <w:p>
                  <w:pPr>
                    <w:numPr>
                      <w:ilvl w:val="0"/>
                      <w:numId w:val="0"/>
                    </w:numPr>
                    <w:ind w:left="0" w:leftChars="0" w:firstLine="0" w:firstLineChars="0"/>
                    <w:jc w:val="center"/>
                    <w:rPr>
                      <w:rFonts w:hint="eastAsia" w:ascii="Times New Roman" w:hAnsi="宋体" w:eastAsia="宋体"/>
                      <w:color w:val="auto"/>
                      <w:position w:val="0"/>
                      <w:sz w:val="21"/>
                      <w:szCs w:val="21"/>
                      <w:lang w:eastAsia="zh-CN"/>
                    </w:rPr>
                  </w:pPr>
                  <w:r>
                    <w:rPr>
                      <w:rFonts w:hint="default" w:ascii="Times New Roman" w:hAnsi="Times New Roman" w:cs="Times New Roman"/>
                      <w:color w:val="auto"/>
                      <w:sz w:val="21"/>
                      <w:szCs w:val="21"/>
                      <w:vertAlign w:val="baseline"/>
                      <w:lang w:val="en-US" w:eastAsia="zh-CN"/>
                    </w:rPr>
                    <w:t>2</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宋体" w:eastAsia="宋体"/>
                      <w:color w:val="FF0066"/>
                      <w:position w:val="0"/>
                      <w:sz w:val="21"/>
                      <w:szCs w:val="21"/>
                      <w:lang w:val="en-US" w:eastAsia="zh-CN"/>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3</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洗发固定框</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eastAsia="zh-CN"/>
                    </w:rPr>
                  </w:pPr>
                  <w:r>
                    <w:rPr>
                      <w:rFonts w:hint="eastAsia" w:ascii="Times New Roman" w:hAnsi="宋体" w:eastAsia="宋体"/>
                      <w:color w:val="auto"/>
                      <w:position w:val="0"/>
                      <w:sz w:val="21"/>
                      <w:szCs w:val="21"/>
                      <w:lang w:val="en-US" w:eastAsia="zh-CN"/>
                    </w:rPr>
                    <w:t>个</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301</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vertAlign w:val="baseline"/>
                      <w:lang w:val="en-US" w:eastAsia="zh-CN"/>
                    </w:rPr>
                    <w:t>150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4</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洗缸</w:t>
                  </w:r>
                </w:p>
              </w:tc>
              <w:tc>
                <w:tcPr>
                  <w:tcW w:w="1247" w:type="dxa"/>
                  <w:vAlign w:val="center"/>
                </w:tcPr>
                <w:p>
                  <w:pPr>
                    <w:pageBreakBefore w:val="0"/>
                    <w:numPr>
                      <w:ilvl w:val="0"/>
                      <w:numId w:val="0"/>
                    </w:numPr>
                    <w:autoSpaceDE/>
                    <w:autoSpaceDN/>
                    <w:bidi w:val="0"/>
                    <w:snapToGrid w:val="0"/>
                    <w:spacing w:before="0" w:after="0" w:line="240" w:lineRule="auto"/>
                    <w:ind w:right="0" w:firstLine="0"/>
                    <w:jc w:val="both"/>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 xml:space="preserve">      --</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20</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宋体" w:eastAsia="宋体"/>
                      <w:color w:val="FF0066"/>
                      <w:position w:val="0"/>
                      <w:sz w:val="21"/>
                      <w:szCs w:val="21"/>
                      <w:lang w:val="en-US" w:eastAsia="zh-CN"/>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5</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三联机</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10</w:t>
                  </w:r>
                </w:p>
              </w:tc>
              <w:tc>
                <w:tcPr>
                  <w:tcW w:w="1253" w:type="dxa"/>
                  <w:vAlign w:val="top"/>
                </w:tcPr>
                <w:p>
                  <w:pPr>
                    <w:numPr>
                      <w:ilvl w:val="0"/>
                      <w:numId w:val="0"/>
                    </w:numPr>
                    <w:ind w:left="0" w:leftChars="0" w:firstLine="0" w:firstLineChars="0"/>
                    <w:jc w:val="center"/>
                    <w:rPr>
                      <w:rFonts w:hint="eastAsia" w:ascii="Times New Roman" w:hAnsi="宋体" w:eastAsia="宋体"/>
                      <w:color w:val="FF0066"/>
                      <w:position w:val="0"/>
                      <w:sz w:val="21"/>
                      <w:szCs w:val="21"/>
                      <w:lang w:eastAsia="zh-CN"/>
                    </w:rPr>
                  </w:pPr>
                  <w:r>
                    <w:rPr>
                      <w:rFonts w:hint="eastAsia" w:ascii="Times New Roman" w:hAnsi="Times New Roman" w:cs="Times New Roman"/>
                      <w:color w:val="auto"/>
                      <w:sz w:val="21"/>
                      <w:szCs w:val="21"/>
                      <w:vertAlign w:val="baseline"/>
                      <w:lang w:val="en-US" w:eastAsia="zh-CN"/>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6</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highlight w:val="none"/>
                      <w:vertAlign w:val="baseline"/>
                      <w:lang w:val="en-US" w:eastAsia="zh-CN"/>
                    </w:rPr>
                    <w:t>合片机</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7</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倒根机</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10</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vertAlign w:val="baseline"/>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8</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定型柜</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vertAlign w:val="baseline"/>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9</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电子磅</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20</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宋体" w:eastAsia="宋体"/>
                      <w:color w:val="FF0066"/>
                      <w:position w:val="0"/>
                      <w:sz w:val="21"/>
                      <w:szCs w:val="21"/>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10</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软水装置</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宋体" w:eastAsia="宋体"/>
                      <w:color w:val="auto"/>
                      <w:position w:val="0"/>
                      <w:sz w:val="21"/>
                      <w:szCs w:val="21"/>
                      <w:lang w:val="en-US" w:eastAsia="zh-CN"/>
                    </w:rPr>
                  </w:pP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2</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宋体" w:eastAsia="宋体"/>
                      <w:color w:val="FF0066"/>
                      <w:position w:val="0"/>
                      <w:sz w:val="21"/>
                      <w:szCs w:val="21"/>
                      <w:lang w:val="en-US" w:eastAsia="zh-CN"/>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11</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碱液喷淋塔</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套</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12</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稀硫酸溶液喷淋塔</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套</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13</w:t>
                  </w:r>
                </w:p>
              </w:tc>
              <w:tc>
                <w:tcPr>
                  <w:tcW w:w="2246"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水浴</w:t>
                  </w:r>
                  <w:r>
                    <w:rPr>
                      <w:rFonts w:hint="default" w:ascii="Times New Roman" w:hAnsi="Times New Roman" w:cs="Times New Roman"/>
                      <w:color w:val="auto"/>
                      <w:sz w:val="21"/>
                      <w:szCs w:val="21"/>
                      <w:highlight w:val="none"/>
                      <w:vertAlign w:val="baseline"/>
                      <w:lang w:val="en-US" w:eastAsia="zh-CN"/>
                    </w:rPr>
                    <w:t>锅</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套</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宋体" w:eastAsia="宋体"/>
                      <w:color w:val="FF0066"/>
                      <w:position w:val="0"/>
                      <w:sz w:val="21"/>
                      <w:szCs w:val="21"/>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7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14</w:t>
                  </w:r>
                </w:p>
              </w:tc>
              <w:tc>
                <w:tcPr>
                  <w:tcW w:w="2246" w:type="dxa"/>
                  <w:vAlign w:val="top"/>
                </w:tcPr>
                <w:p>
                  <w:pPr>
                    <w:numPr>
                      <w:ilvl w:val="0"/>
                      <w:numId w:val="0"/>
                    </w:numPr>
                    <w:ind w:left="0" w:leftChars="0" w:firstLine="0" w:firstLineChars="0"/>
                    <w:jc w:val="center"/>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高针机</w:t>
                  </w:r>
                </w:p>
              </w:tc>
              <w:tc>
                <w:tcPr>
                  <w:tcW w:w="1247"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w:t>
                  </w:r>
                </w:p>
              </w:tc>
              <w:tc>
                <w:tcPr>
                  <w:tcW w:w="81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台</w:t>
                  </w:r>
                </w:p>
              </w:tc>
              <w:tc>
                <w:tcPr>
                  <w:tcW w:w="1313"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253" w:type="dxa"/>
                  <w:vAlign w:val="top"/>
                </w:tcPr>
                <w:p>
                  <w:pPr>
                    <w:numPr>
                      <w:ilvl w:val="0"/>
                      <w:numId w:val="0"/>
                    </w:numPr>
                    <w:ind w:left="0" w:leftChars="0" w:firstLine="0" w:firstLineChars="0"/>
                    <w:jc w:val="center"/>
                    <w:rPr>
                      <w:rFonts w:hint="default" w:ascii="Times New Roman" w:hAnsi="宋体" w:eastAsia="宋体"/>
                      <w:color w:val="FF0066"/>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2</w:t>
                  </w:r>
                </w:p>
              </w:tc>
            </w:tr>
          </w:tbl>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二、原辅材料消耗及水平衡：</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本项目主要原料及能源实际消耗与环评对比见表2-3。</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表2-3 主要原料及能源实际消耗与环评对比一览表</w:t>
            </w:r>
          </w:p>
          <w:tbl>
            <w:tblPr>
              <w:tblStyle w:val="33"/>
              <w:tblW w:w="814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678"/>
              <w:gridCol w:w="1344"/>
              <w:gridCol w:w="1915"/>
              <w:gridCol w:w="2105"/>
              <w:gridCol w:w="210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序号</w:t>
                  </w:r>
                </w:p>
              </w:tc>
              <w:tc>
                <w:tcPr>
                  <w:tcW w:w="134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原料名称</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单位</w:t>
                  </w:r>
                </w:p>
              </w:tc>
              <w:tc>
                <w:tcPr>
                  <w:tcW w:w="210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年用量</w:t>
                  </w:r>
                </w:p>
              </w:tc>
              <w:tc>
                <w:tcPr>
                  <w:tcW w:w="2106"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实际用量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1</w:t>
                  </w:r>
                </w:p>
              </w:tc>
              <w:tc>
                <w:tcPr>
                  <w:tcW w:w="1344"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人发</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40</w:t>
                  </w:r>
                  <w:r>
                    <w:rPr>
                      <w:rFonts w:hint="default" w:ascii="Times New Roman" w:hAnsi="Times New Roman" w:cs="Times New Roman"/>
                      <w:color w:val="auto"/>
                      <w:sz w:val="21"/>
                      <w:szCs w:val="21"/>
                      <w:vertAlign w:val="baseline"/>
                      <w:lang w:val="en-US" w:eastAsia="zh-CN"/>
                    </w:rPr>
                    <w:t>t</w:t>
                  </w:r>
                </w:p>
              </w:tc>
              <w:tc>
                <w:tcPr>
                  <w:tcW w:w="2106"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C00000"/>
                      <w:position w:val="0"/>
                      <w:sz w:val="21"/>
                      <w:szCs w:val="21"/>
                      <w:lang w:val="en-US" w:eastAsia="zh-CN"/>
                    </w:rPr>
                  </w:pPr>
                  <w:r>
                    <w:rPr>
                      <w:rFonts w:hint="eastAsia" w:ascii="Times New Roman" w:hAnsi="宋体" w:eastAsia="宋体"/>
                      <w:color w:val="C00000"/>
                      <w:position w:val="0"/>
                      <w:sz w:val="21"/>
                      <w:szCs w:val="21"/>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2</w:t>
                  </w:r>
                </w:p>
              </w:tc>
              <w:tc>
                <w:tcPr>
                  <w:tcW w:w="1344" w:type="dxa"/>
                  <w:vAlign w:val="center"/>
                </w:tcPr>
                <w:p>
                  <w:pPr>
                    <w:numPr>
                      <w:ilvl w:val="0"/>
                      <w:numId w:val="0"/>
                    </w:numPr>
                    <w:ind w:left="0" w:leftChars="0" w:firstLine="0" w:firstLineChars="0"/>
                    <w:jc w:val="center"/>
                    <w:rPr>
                      <w:rFonts w:hint="eastAsia" w:ascii="Times New Roman" w:hAnsi="宋体" w:eastAsia="宋体"/>
                      <w:color w:val="auto"/>
                      <w:position w:val="0"/>
                      <w:sz w:val="21"/>
                      <w:szCs w:val="21"/>
                      <w:lang w:eastAsia="zh-CN"/>
                    </w:rPr>
                  </w:pPr>
                  <w:r>
                    <w:rPr>
                      <w:rFonts w:hint="default" w:ascii="Times New Roman" w:hAnsi="Times New Roman" w:cs="Times New Roman"/>
                      <w:color w:val="auto"/>
                      <w:sz w:val="21"/>
                      <w:szCs w:val="21"/>
                      <w:vertAlign w:val="baseline"/>
                      <w:lang w:val="en-US" w:eastAsia="zh-CN"/>
                    </w:rPr>
                    <w:t>护发素</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t</w:t>
                  </w:r>
                </w:p>
              </w:tc>
              <w:tc>
                <w:tcPr>
                  <w:tcW w:w="2106" w:type="dxa"/>
                  <w:vAlign w:val="center"/>
                </w:tcPr>
                <w:p>
                  <w:pPr>
                    <w:numPr>
                      <w:ilvl w:val="0"/>
                      <w:numId w:val="0"/>
                    </w:numPr>
                    <w:ind w:left="0" w:leftChars="0" w:firstLine="0" w:firstLineChars="0"/>
                    <w:jc w:val="center"/>
                    <w:rPr>
                      <w:rFonts w:hint="default" w:ascii="Times New Roman" w:hAnsi="宋体" w:eastAsia="宋体"/>
                      <w:color w:val="C00000"/>
                      <w:position w:val="0"/>
                      <w:sz w:val="21"/>
                      <w:szCs w:val="21"/>
                      <w:lang w:val="en-US" w:eastAsia="zh-CN"/>
                    </w:rPr>
                  </w:pPr>
                  <w:r>
                    <w:rPr>
                      <w:rFonts w:hint="default" w:ascii="Times New Roman" w:hAnsi="Times New Roman"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3</w:t>
                  </w:r>
                </w:p>
              </w:tc>
              <w:tc>
                <w:tcPr>
                  <w:tcW w:w="1344"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98%硫酸</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0.3</w:t>
                  </w:r>
                  <w:r>
                    <w:rPr>
                      <w:rFonts w:hint="default" w:ascii="Times New Roman" w:hAnsi="Times New Roman" w:cs="Times New Roman"/>
                      <w:color w:val="auto"/>
                      <w:sz w:val="21"/>
                      <w:szCs w:val="21"/>
                      <w:vertAlign w:val="baseline"/>
                      <w:lang w:val="en-US" w:eastAsia="zh-CN"/>
                    </w:rPr>
                    <w:t>t</w:t>
                  </w:r>
                </w:p>
              </w:tc>
              <w:tc>
                <w:tcPr>
                  <w:tcW w:w="2106" w:type="dxa"/>
                  <w:vAlign w:val="center"/>
                </w:tcPr>
                <w:p>
                  <w:pPr>
                    <w:numPr>
                      <w:ilvl w:val="0"/>
                      <w:numId w:val="0"/>
                    </w:numPr>
                    <w:ind w:left="0" w:leftChars="0" w:firstLine="0" w:firstLineChars="0"/>
                    <w:jc w:val="center"/>
                    <w:rPr>
                      <w:rFonts w:hint="default" w:ascii="Times New Roman" w:hAnsi="宋体" w:eastAsia="宋体"/>
                      <w:color w:val="C00000"/>
                      <w:position w:val="0"/>
                      <w:sz w:val="21"/>
                      <w:szCs w:val="21"/>
                      <w:lang w:val="en-US" w:eastAsia="zh-CN"/>
                    </w:rPr>
                  </w:pPr>
                  <w:r>
                    <w:rPr>
                      <w:rFonts w:hint="eastAsia" w:ascii="Times New Roman" w:hAnsi="Times New Roman" w:cs="Times New Roman"/>
                      <w:color w:val="auto"/>
                      <w:sz w:val="21"/>
                      <w:szCs w:val="21"/>
                      <w:vertAlign w:val="baseline"/>
                      <w:lang w:val="en-US" w:eastAsia="zh-CN"/>
                    </w:rPr>
                    <w:t>0.15</w:t>
                  </w:r>
                  <w:r>
                    <w:rPr>
                      <w:rFonts w:hint="default" w:ascii="Times New Roman" w:hAnsi="Times New Roman" w:cs="Times New Roman"/>
                      <w:color w:val="auto"/>
                      <w:sz w:val="21"/>
                      <w:szCs w:val="21"/>
                      <w:vertAlign w:val="baseline"/>
                      <w:lang w:val="en-US" w:eastAsia="zh-CN"/>
                    </w:rPr>
                    <w:t>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4</w:t>
                  </w:r>
                </w:p>
              </w:tc>
              <w:tc>
                <w:tcPr>
                  <w:tcW w:w="1344"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次氯酸钠</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t</w:t>
                  </w:r>
                </w:p>
              </w:tc>
              <w:tc>
                <w:tcPr>
                  <w:tcW w:w="2106" w:type="dxa"/>
                  <w:vAlign w:val="center"/>
                </w:tcPr>
                <w:p>
                  <w:pPr>
                    <w:numPr>
                      <w:ilvl w:val="0"/>
                      <w:numId w:val="0"/>
                    </w:numPr>
                    <w:ind w:left="0" w:leftChars="0" w:firstLine="0" w:firstLineChars="0"/>
                    <w:jc w:val="center"/>
                    <w:rPr>
                      <w:rFonts w:hint="default" w:ascii="Times New Roman" w:hAnsi="宋体" w:eastAsia="宋体"/>
                      <w:color w:val="C00000"/>
                      <w:position w:val="0"/>
                      <w:sz w:val="21"/>
                      <w:szCs w:val="21"/>
                      <w:lang w:val="en-US" w:eastAsia="zh-CN"/>
                    </w:rPr>
                  </w:pPr>
                  <w:r>
                    <w:rPr>
                      <w:rFonts w:hint="eastAsia" w:ascii="Times New Roman" w:hAnsi="Times New Roman" w:cs="Times New Roman"/>
                      <w:color w:val="auto"/>
                      <w:sz w:val="21"/>
                      <w:szCs w:val="21"/>
                      <w:vertAlign w:val="baseline"/>
                      <w:lang w:val="en-US" w:eastAsia="zh-CN"/>
                    </w:rPr>
                    <w:t>0.5</w:t>
                  </w:r>
                  <w:r>
                    <w:rPr>
                      <w:rFonts w:hint="default" w:ascii="Times New Roman" w:hAnsi="Times New Roman" w:cs="Times New Roman"/>
                      <w:color w:val="auto"/>
                      <w:sz w:val="21"/>
                      <w:szCs w:val="21"/>
                      <w:vertAlign w:val="baseline"/>
                      <w:lang w:val="en-US" w:eastAsia="zh-CN"/>
                    </w:rPr>
                    <w:t>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5</w:t>
                  </w:r>
                </w:p>
              </w:tc>
              <w:tc>
                <w:tcPr>
                  <w:tcW w:w="1344"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焦磷酸钠</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1t</w:t>
                  </w:r>
                </w:p>
              </w:tc>
              <w:tc>
                <w:tcPr>
                  <w:tcW w:w="2106" w:type="dxa"/>
                  <w:vAlign w:val="center"/>
                </w:tcPr>
                <w:p>
                  <w:pPr>
                    <w:numPr>
                      <w:ilvl w:val="0"/>
                      <w:numId w:val="0"/>
                    </w:numPr>
                    <w:ind w:left="0" w:leftChars="0" w:firstLine="0" w:firstLineChars="0"/>
                    <w:jc w:val="center"/>
                    <w:rPr>
                      <w:rFonts w:hint="default" w:ascii="Times New Roman" w:hAnsi="宋体" w:eastAsia="宋体"/>
                      <w:color w:val="C00000"/>
                      <w:position w:val="0"/>
                      <w:sz w:val="21"/>
                      <w:szCs w:val="21"/>
                      <w:lang w:val="en-US" w:eastAsia="zh-CN"/>
                    </w:rPr>
                  </w:pPr>
                  <w:r>
                    <w:rPr>
                      <w:rFonts w:hint="eastAsia" w:ascii="Times New Roman" w:hAnsi="Times New Roman" w:cs="Times New Roman"/>
                      <w:color w:val="auto"/>
                      <w:sz w:val="21"/>
                      <w:szCs w:val="21"/>
                      <w:vertAlign w:val="baseline"/>
                      <w:lang w:val="en-US" w:eastAsia="zh-CN"/>
                    </w:rPr>
                    <w:t>0.5</w:t>
                  </w:r>
                  <w:r>
                    <w:rPr>
                      <w:rFonts w:hint="default" w:ascii="Times New Roman" w:hAnsi="Times New Roman" w:cs="Times New Roman"/>
                      <w:color w:val="auto"/>
                      <w:sz w:val="21"/>
                      <w:szCs w:val="21"/>
                      <w:vertAlign w:val="baseline"/>
                      <w:lang w:val="en-US" w:eastAsia="zh-CN"/>
                    </w:rPr>
                    <w:t>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6</w:t>
                  </w:r>
                </w:p>
              </w:tc>
              <w:tc>
                <w:tcPr>
                  <w:tcW w:w="1344"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default" w:ascii="Times New Roman" w:hAnsi="Times New Roman" w:cs="Times New Roman"/>
                      <w:color w:val="auto"/>
                      <w:sz w:val="21"/>
                      <w:szCs w:val="21"/>
                      <w:vertAlign w:val="baseline"/>
                      <w:lang w:val="en-US" w:eastAsia="zh-CN"/>
                    </w:rPr>
                    <w:t>15%氨水</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center"/>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0.5</w:t>
                  </w:r>
                  <w:r>
                    <w:rPr>
                      <w:rFonts w:hint="default" w:ascii="Times New Roman" w:hAnsi="Times New Roman" w:cs="Times New Roman"/>
                      <w:color w:val="auto"/>
                      <w:sz w:val="21"/>
                      <w:szCs w:val="21"/>
                      <w:vertAlign w:val="baseline"/>
                      <w:lang w:val="en-US" w:eastAsia="zh-CN"/>
                    </w:rPr>
                    <w:t>t</w:t>
                  </w:r>
                </w:p>
              </w:tc>
              <w:tc>
                <w:tcPr>
                  <w:tcW w:w="2106" w:type="dxa"/>
                  <w:vAlign w:val="center"/>
                </w:tcPr>
                <w:p>
                  <w:pPr>
                    <w:numPr>
                      <w:ilvl w:val="0"/>
                      <w:numId w:val="0"/>
                    </w:numPr>
                    <w:ind w:left="0" w:leftChars="0" w:firstLine="0" w:firstLineChars="0"/>
                    <w:jc w:val="center"/>
                    <w:rPr>
                      <w:rFonts w:hint="default" w:ascii="Times New Roman" w:hAnsi="宋体" w:eastAsia="宋体"/>
                      <w:color w:val="C00000"/>
                      <w:position w:val="0"/>
                      <w:sz w:val="21"/>
                      <w:szCs w:val="21"/>
                      <w:lang w:val="en-US" w:eastAsia="zh-CN"/>
                    </w:rPr>
                  </w:pPr>
                  <w:r>
                    <w:rPr>
                      <w:rFonts w:hint="eastAsia" w:ascii="Times New Roman" w:hAnsi="Times New Roman" w:cs="Times New Roman"/>
                      <w:color w:val="auto"/>
                      <w:sz w:val="21"/>
                      <w:szCs w:val="21"/>
                      <w:vertAlign w:val="baseline"/>
                      <w:lang w:val="en-US" w:eastAsia="zh-CN"/>
                    </w:rPr>
                    <w:t>0.25</w:t>
                  </w:r>
                  <w:r>
                    <w:rPr>
                      <w:rFonts w:hint="default" w:ascii="Times New Roman" w:hAnsi="Times New Roman" w:cs="Times New Roman"/>
                      <w:color w:val="auto"/>
                      <w:sz w:val="21"/>
                      <w:szCs w:val="21"/>
                      <w:vertAlign w:val="baseline"/>
                      <w:lang w:val="en-US" w:eastAsia="zh-CN"/>
                    </w:rPr>
                    <w:t>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8</w:t>
                  </w:r>
                </w:p>
              </w:tc>
              <w:tc>
                <w:tcPr>
                  <w:tcW w:w="134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自来水</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eastAsia" w:ascii="Times New Roman" w:hAnsi="宋体" w:eastAsia="宋体"/>
                      <w:color w:val="auto"/>
                      <w:position w:val="0"/>
                      <w:sz w:val="21"/>
                      <w:szCs w:val="21"/>
                      <w:lang w:val="en-US" w:eastAsia="zh-CN"/>
                    </w:rPr>
                    <w:t>m³</w:t>
                  </w:r>
                  <w:r>
                    <w:rPr>
                      <w:rFonts w:hint="default" w:ascii="Times New Roman" w:hAnsi="宋体" w:eastAsia="宋体"/>
                      <w:color w:val="auto"/>
                      <w:position w:val="0"/>
                      <w:sz w:val="21"/>
                      <w:szCs w:val="21"/>
                    </w:rPr>
                    <w:t>/a</w:t>
                  </w:r>
                </w:p>
              </w:tc>
              <w:tc>
                <w:tcPr>
                  <w:tcW w:w="2105"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1020</w:t>
                  </w:r>
                </w:p>
              </w:tc>
              <w:tc>
                <w:tcPr>
                  <w:tcW w:w="2106"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C00000"/>
                      <w:position w:val="0"/>
                      <w:sz w:val="21"/>
                      <w:szCs w:val="21"/>
                      <w:lang w:val="en-US" w:eastAsia="zh-CN"/>
                    </w:rPr>
                  </w:pPr>
                  <w:r>
                    <w:rPr>
                      <w:rFonts w:hint="eastAsia" w:ascii="Times New Roman" w:hAnsi="宋体" w:eastAsia="宋体"/>
                      <w:color w:val="C00000"/>
                      <w:position w:val="0"/>
                      <w:sz w:val="21"/>
                      <w:szCs w:val="21"/>
                      <w:lang w:val="en-US" w:eastAsia="zh-CN"/>
                    </w:rPr>
                    <w:t>500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9</w:t>
                  </w:r>
                </w:p>
              </w:tc>
              <w:tc>
                <w:tcPr>
                  <w:tcW w:w="134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电</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万kwH</w:t>
                  </w:r>
                </w:p>
              </w:tc>
              <w:tc>
                <w:tcPr>
                  <w:tcW w:w="2105"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0</w:t>
                  </w:r>
                </w:p>
              </w:tc>
              <w:tc>
                <w:tcPr>
                  <w:tcW w:w="2106"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C00000"/>
                      <w:position w:val="0"/>
                      <w:sz w:val="21"/>
                      <w:szCs w:val="21"/>
                      <w:lang w:val="en-US" w:eastAsia="zh-CN"/>
                    </w:rPr>
                  </w:pPr>
                  <w:r>
                    <w:rPr>
                      <w:rFonts w:hint="eastAsia" w:ascii="Times New Roman" w:hAnsi="宋体" w:eastAsia="宋体"/>
                      <w:color w:val="C00000"/>
                      <w:position w:val="0"/>
                      <w:sz w:val="21"/>
                      <w:szCs w:val="21"/>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10</w:t>
                  </w:r>
                </w:p>
              </w:tc>
              <w:tc>
                <w:tcPr>
                  <w:tcW w:w="1344"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lang w:val="en-US" w:eastAsia="zh-CN"/>
                    </w:rPr>
                  </w:pPr>
                  <w:r>
                    <w:rPr>
                      <w:rFonts w:hint="eastAsia" w:ascii="Times New Roman" w:hAnsi="宋体" w:eastAsia="宋体"/>
                      <w:color w:val="auto"/>
                      <w:position w:val="0"/>
                      <w:sz w:val="21"/>
                      <w:szCs w:val="21"/>
                      <w:lang w:val="en-US" w:eastAsia="zh-CN"/>
                    </w:rPr>
                    <w:t>蒸汽</w:t>
                  </w:r>
                </w:p>
              </w:tc>
              <w:tc>
                <w:tcPr>
                  <w:tcW w:w="1915"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auto"/>
                      <w:position w:val="0"/>
                      <w:sz w:val="21"/>
                      <w:szCs w:val="21"/>
                    </w:rPr>
                  </w:pPr>
                  <w:r>
                    <w:rPr>
                      <w:rFonts w:hint="default" w:ascii="Times New Roman" w:hAnsi="宋体" w:eastAsia="宋体"/>
                      <w:color w:val="auto"/>
                      <w:position w:val="0"/>
                      <w:sz w:val="21"/>
                      <w:szCs w:val="21"/>
                    </w:rPr>
                    <w:t>t/a</w:t>
                  </w:r>
                </w:p>
              </w:tc>
              <w:tc>
                <w:tcPr>
                  <w:tcW w:w="2105" w:type="dxa"/>
                  <w:vAlign w:val="top"/>
                </w:tcPr>
                <w:p>
                  <w:pPr>
                    <w:numPr>
                      <w:ilvl w:val="0"/>
                      <w:numId w:val="0"/>
                    </w:numPr>
                    <w:ind w:left="0" w:leftChars="0" w:firstLine="0" w:firstLineChars="0"/>
                    <w:jc w:val="center"/>
                    <w:rPr>
                      <w:rFonts w:hint="default" w:ascii="Times New Roman" w:hAnsi="宋体" w:eastAsia="宋体"/>
                      <w:color w:val="auto"/>
                      <w:position w:val="0"/>
                      <w:sz w:val="21"/>
                      <w:szCs w:val="21"/>
                      <w:lang w:val="en-US" w:eastAsia="zh-CN"/>
                    </w:rPr>
                  </w:pPr>
                  <w:r>
                    <w:rPr>
                      <w:rFonts w:hint="eastAsia"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000</w:t>
                  </w:r>
                </w:p>
              </w:tc>
              <w:tc>
                <w:tcPr>
                  <w:tcW w:w="2106"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宋体" w:eastAsia="宋体"/>
                      <w:color w:val="C00000"/>
                      <w:position w:val="0"/>
                      <w:sz w:val="21"/>
                      <w:szCs w:val="21"/>
                      <w:lang w:val="en-US" w:eastAsia="zh-CN"/>
                    </w:rPr>
                  </w:pPr>
                  <w:r>
                    <w:rPr>
                      <w:rFonts w:hint="eastAsia" w:ascii="Times New Roman" w:hAnsi="宋体" w:eastAsia="宋体"/>
                      <w:color w:val="C00000"/>
                      <w:position w:val="0"/>
                      <w:sz w:val="21"/>
                      <w:szCs w:val="21"/>
                      <w:lang w:val="en-US" w:eastAsia="zh-CN"/>
                    </w:rPr>
                    <w:t>500</w:t>
                  </w:r>
                </w:p>
              </w:tc>
            </w:tr>
          </w:tbl>
          <w:p>
            <w:pPr>
              <w:pStyle w:val="16"/>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本项目给排水情况：</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1、给水</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本项目用水水源为自备地下水井，主要为生活用水和生产用水。生产用水主要为</w:t>
            </w:r>
            <w:r>
              <w:rPr>
                <w:rFonts w:hint="eastAsia" w:ascii="Times New Roman" w:hAnsi="宋体" w:eastAsia="宋体"/>
                <w:color w:val="auto"/>
                <w:position w:val="0"/>
                <w:sz w:val="24"/>
                <w:szCs w:val="24"/>
                <w:lang w:val="en-US" w:eastAsia="zh-CN"/>
              </w:rPr>
              <w:t>洗发用水和废气处理装置</w:t>
            </w:r>
            <w:r>
              <w:rPr>
                <w:rFonts w:hint="default" w:ascii="Times New Roman" w:hAnsi="宋体" w:eastAsia="宋体"/>
                <w:color w:val="auto"/>
                <w:position w:val="0"/>
                <w:sz w:val="24"/>
                <w:szCs w:val="24"/>
              </w:rPr>
              <w:t>用水。</w:t>
            </w:r>
          </w:p>
          <w:p>
            <w:pPr>
              <w:pStyle w:val="54"/>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2、排水</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lang w:val="en-US"/>
              </w:rPr>
            </w:pPr>
            <w:r>
              <w:rPr>
                <w:rFonts w:hint="default" w:ascii="Times New Roman" w:hAnsi="宋体" w:eastAsia="宋体"/>
                <w:color w:val="auto"/>
                <w:position w:val="0"/>
                <w:sz w:val="24"/>
                <w:szCs w:val="24"/>
              </w:rPr>
              <w:t>项目厂区雨水收集后单独排放。项目产生的废水主要为生产废水和生活废水。</w:t>
            </w:r>
            <w:r>
              <w:rPr>
                <w:rFonts w:hint="eastAsia" w:ascii="Times New Roman" w:hAnsi="宋体" w:eastAsia="宋体"/>
                <w:color w:val="auto"/>
                <w:position w:val="0"/>
                <w:sz w:val="24"/>
                <w:szCs w:val="24"/>
                <w:lang w:val="en-US" w:eastAsia="zh-CN"/>
              </w:rPr>
              <w:t>产区污水管网收集后采用厂内预处理装置进行处理，然后在排入厂外市政污水管网，进入鄄城县第二人发产业园污水处理厂进行集中处理。</w:t>
            </w:r>
            <w:r>
              <w:rPr>
                <w:rFonts w:hint="default" w:ascii="Times New Roman" w:hAnsi="宋体" w:eastAsia="宋体"/>
                <w:color w:val="auto"/>
                <w:position w:val="0"/>
                <w:sz w:val="24"/>
                <w:szCs w:val="24"/>
                <w:lang w:val="en-US"/>
              </w:rPr>
              <w:drawing>
                <wp:inline distT="0" distB="0" distL="114300" distR="114300">
                  <wp:extent cx="5272405" cy="4922520"/>
                  <wp:effectExtent l="0" t="0" r="4445" b="11430"/>
                  <wp:docPr id="12" name="图片 12" descr="1575012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75012296(1)"/>
                          <pic:cNvPicPr>
                            <a:picLocks noChangeAspect="1"/>
                          </pic:cNvPicPr>
                        </pic:nvPicPr>
                        <pic:blipFill>
                          <a:blip r:embed="rId10"/>
                          <a:stretch>
                            <a:fillRect/>
                          </a:stretch>
                        </pic:blipFill>
                        <pic:spPr>
                          <a:xfrm>
                            <a:off x="0" y="0"/>
                            <a:ext cx="5272405" cy="4922520"/>
                          </a:xfrm>
                          <a:prstGeom prst="rect">
                            <a:avLst/>
                          </a:prstGeom>
                        </pic:spPr>
                      </pic:pic>
                    </a:graphicData>
                  </a:graphic>
                </wp:inline>
              </w:drawing>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 xml:space="preserve">         </w:t>
            </w:r>
            <w:r>
              <w:rPr>
                <w:rFonts w:hint="eastAsia"/>
                <w:b/>
                <w:bCs/>
                <w:color w:val="auto"/>
                <w:sz w:val="24"/>
                <w:szCs w:val="24"/>
                <w:lang w:eastAsia="zh-CN"/>
              </w:rPr>
              <w:t>鄄城县第二人发产业中心污水处理厂处理工艺分析</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3、用水平衡图</w:t>
            </w:r>
          </w:p>
          <w:p>
            <w:pPr>
              <w:pageBreakBefore w:val="0"/>
              <w:numPr>
                <w:ilvl w:val="0"/>
                <w:numId w:val="0"/>
              </w:numPr>
              <w:autoSpaceDE/>
              <w:autoSpaceDN/>
              <w:bidi w:val="0"/>
              <w:snapToGrid w:val="0"/>
              <w:spacing w:before="0" w:after="0" w:line="360" w:lineRule="auto"/>
              <w:ind w:right="0" w:firstLine="56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项目用水平衡图如图1所示</w:t>
            </w:r>
          </w:p>
          <w:p>
            <w:pPr>
              <w:pageBreakBefore w:val="0"/>
              <w:numPr>
                <w:ilvl w:val="0"/>
                <w:numId w:val="0"/>
              </w:numPr>
              <w:autoSpaceDE/>
              <w:autoSpaceDN/>
              <w:bidi w:val="0"/>
              <w:snapToGrid w:val="0"/>
              <w:spacing w:before="0" w:after="0" w:line="360" w:lineRule="auto"/>
              <w:ind w:right="0" w:firstLine="560"/>
              <w:jc w:val="left"/>
              <w:rPr>
                <w:rFonts w:hint="eastAsia" w:ascii="Times New Roman" w:hAnsi="宋体" w:eastAsia="宋体"/>
                <w:color w:val="auto"/>
                <w:position w:val="0"/>
                <w:sz w:val="22"/>
                <w:szCs w:val="22"/>
                <w:lang w:eastAsia="zh-CN"/>
              </w:rPr>
            </w:pPr>
            <w:r>
              <w:rPr>
                <w:rFonts w:hint="eastAsia" w:ascii="Times New Roman" w:hAnsi="宋体" w:eastAsia="宋体"/>
                <w:color w:val="auto"/>
                <w:position w:val="0"/>
                <w:sz w:val="22"/>
                <w:szCs w:val="22"/>
                <w:lang w:eastAsia="zh-CN"/>
              </w:rPr>
              <w:drawing>
                <wp:inline distT="0" distB="0" distL="114300" distR="114300">
                  <wp:extent cx="4851400" cy="3469640"/>
                  <wp:effectExtent l="0" t="0" r="6350" b="16510"/>
                  <wp:docPr id="5" name="图片 5" descr="1575012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5012240(1)"/>
                          <pic:cNvPicPr>
                            <a:picLocks noChangeAspect="1"/>
                          </pic:cNvPicPr>
                        </pic:nvPicPr>
                        <pic:blipFill>
                          <a:blip r:embed="rId11"/>
                          <a:stretch>
                            <a:fillRect/>
                          </a:stretch>
                        </pic:blipFill>
                        <pic:spPr>
                          <a:xfrm>
                            <a:off x="0" y="0"/>
                            <a:ext cx="4851400" cy="3469640"/>
                          </a:xfrm>
                          <a:prstGeom prst="rect">
                            <a:avLst/>
                          </a:prstGeom>
                        </pic:spPr>
                      </pic:pic>
                    </a:graphicData>
                  </a:graphic>
                </wp:inline>
              </w:drawing>
            </w:r>
          </w:p>
          <w:p>
            <w:pPr>
              <w:rPr>
                <w:rFonts w:hint="default"/>
              </w:rPr>
            </w:pPr>
          </w:p>
          <w:p>
            <w:pPr>
              <w:pageBreakBefore w:val="0"/>
              <w:numPr>
                <w:ilvl w:val="0"/>
                <w:numId w:val="0"/>
              </w:numPr>
              <w:autoSpaceDE/>
              <w:autoSpaceDN/>
              <w:bidi w:val="0"/>
              <w:snapToGrid/>
              <w:spacing w:before="0" w:after="0" w:line="360" w:lineRule="auto"/>
              <w:ind w:right="0" w:firstLine="480"/>
              <w:jc w:val="center"/>
              <w:rPr>
                <w:rFonts w:hint="default" w:ascii="Times New Roman" w:hAnsi="宋体" w:eastAsia="宋体"/>
                <w:b/>
                <w:color w:val="auto"/>
                <w:position w:val="0"/>
                <w:sz w:val="24"/>
                <w:szCs w:val="24"/>
              </w:rPr>
            </w:pPr>
            <w:r>
              <w:rPr>
                <w:rFonts w:hint="default" w:ascii="Times New Roman" w:hAnsi="宋体" w:eastAsia="宋体"/>
                <w:color w:val="auto"/>
                <w:position w:val="0"/>
                <w:sz w:val="24"/>
                <w:szCs w:val="24"/>
              </w:rPr>
              <w:t>图1用水平衡图（m³/a）</w:t>
            </w: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三、主要工艺流程及产物环节</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1、生产工艺流程及产污环节详见图</w:t>
            </w:r>
          </w:p>
          <w:p>
            <w:pPr>
              <w:pageBreakBefore w:val="0"/>
              <w:numPr>
                <w:ilvl w:val="0"/>
                <w:numId w:val="0"/>
              </w:numPr>
              <w:autoSpaceDE/>
              <w:autoSpaceDN/>
              <w:bidi w:val="0"/>
              <w:snapToGrid w:val="0"/>
              <w:spacing w:before="0" w:after="0" w:line="360" w:lineRule="auto"/>
              <w:ind w:right="0" w:firstLine="480"/>
              <w:jc w:val="left"/>
              <w:rPr>
                <w:rFonts w:hint="eastAsia" w:ascii="Times New Roman" w:hAnsi="宋体" w:eastAsia="宋体"/>
                <w:color w:val="auto"/>
                <w:position w:val="0"/>
                <w:sz w:val="24"/>
                <w:szCs w:val="24"/>
                <w:lang w:eastAsia="zh-CN"/>
              </w:rPr>
            </w:pPr>
            <w:r>
              <w:rPr>
                <w:rFonts w:hint="eastAsia" w:ascii="Times New Roman" w:hAnsi="宋体" w:eastAsia="宋体"/>
                <w:color w:val="auto"/>
                <w:position w:val="0"/>
                <w:sz w:val="24"/>
                <w:szCs w:val="24"/>
                <w:lang w:eastAsia="zh-CN"/>
              </w:rPr>
              <w:drawing>
                <wp:inline distT="0" distB="0" distL="114300" distR="114300">
                  <wp:extent cx="4730750" cy="2571115"/>
                  <wp:effectExtent l="0" t="0" r="12700" b="635"/>
                  <wp:docPr id="13" name="图片 13" descr="acb5edac1a33fbe2f0d1dfb4e40b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cb5edac1a33fbe2f0d1dfb4e40b18a"/>
                          <pic:cNvPicPr>
                            <a:picLocks noChangeAspect="1"/>
                          </pic:cNvPicPr>
                        </pic:nvPicPr>
                        <pic:blipFill>
                          <a:blip r:embed="rId12"/>
                          <a:stretch>
                            <a:fillRect/>
                          </a:stretch>
                        </pic:blipFill>
                        <pic:spPr>
                          <a:xfrm>
                            <a:off x="0" y="0"/>
                            <a:ext cx="4730750" cy="2571115"/>
                          </a:xfrm>
                          <a:prstGeom prst="rect">
                            <a:avLst/>
                          </a:prstGeom>
                        </pic:spPr>
                      </pic:pic>
                    </a:graphicData>
                  </a:graphic>
                </wp:inline>
              </w:drawing>
            </w:r>
          </w:p>
          <w:p>
            <w:pPr>
              <w:pStyle w:val="40"/>
              <w:numPr>
                <w:ilvl w:val="0"/>
                <w:numId w:val="0"/>
              </w:numPr>
              <w:autoSpaceDE w:val="0"/>
              <w:autoSpaceDN w:val="0"/>
              <w:spacing w:before="0" w:after="160" w:line="240" w:lineRule="auto"/>
              <w:ind w:right="0" w:firstLine="0"/>
              <w:jc w:val="left"/>
              <w:rPr>
                <w:rFonts w:hint="default" w:ascii="Times New Roman" w:hAnsi="宋体" w:eastAsia="宋体"/>
                <w:color w:val="000000"/>
                <w:position w:val="0"/>
                <w:sz w:val="24"/>
                <w:szCs w:val="24"/>
              </w:rPr>
            </w:pPr>
          </w:p>
          <w:p>
            <w:pPr>
              <w:pStyle w:val="58"/>
              <w:pageBreakBefore w:val="0"/>
              <w:numPr>
                <w:ilvl w:val="0"/>
                <w:numId w:val="0"/>
              </w:numPr>
              <w:autoSpaceDE/>
              <w:autoSpaceDN/>
              <w:bidi w:val="0"/>
              <w:snapToGrid/>
              <w:spacing w:before="0" w:after="0" w:line="360" w:lineRule="auto"/>
              <w:ind w:right="0" w:firstLine="1680" w:firstLineChars="700"/>
              <w:jc w:val="both"/>
              <w:rPr>
                <w:rFonts w:hint="default" w:ascii="Times New Roman" w:hAnsi="宋体" w:eastAsia="宋体"/>
                <w:color w:val="auto"/>
                <w:position w:val="0"/>
                <w:sz w:val="24"/>
                <w:szCs w:val="24"/>
              </w:rPr>
            </w:pPr>
            <w:r>
              <w:rPr>
                <w:rFonts w:hint="default" w:ascii="Times New Roman" w:hAnsi="宋体" w:eastAsia="宋体"/>
                <w:b w:val="0"/>
                <w:color w:val="auto"/>
                <w:position w:val="0"/>
                <w:sz w:val="24"/>
                <w:szCs w:val="24"/>
              </w:rPr>
              <w:t>图2生产工艺流程及产污环节图</w:t>
            </w:r>
          </w:p>
          <w:p>
            <w:pPr>
              <w:pageBreakBefore w:val="0"/>
              <w:numPr>
                <w:ilvl w:val="0"/>
                <w:numId w:val="0"/>
              </w:numPr>
              <w:autoSpaceDE/>
              <w:autoSpaceDN/>
              <w:bidi w:val="0"/>
              <w:snapToGrid w:val="0"/>
              <w:spacing w:before="0" w:after="0" w:line="360" w:lineRule="auto"/>
              <w:ind w:right="0" w:rightChars="0" w:firstLine="720" w:firstLineChars="300"/>
              <w:jc w:val="both"/>
              <w:rPr>
                <w:rFonts w:hint="eastAsia" w:ascii="Times New Roman" w:hAnsi="宋体" w:eastAsia="宋体"/>
                <w:color w:val="auto"/>
                <w:position w:val="0"/>
                <w:sz w:val="24"/>
                <w:szCs w:val="24"/>
                <w:lang w:val="en-US" w:eastAsia="zh-CN"/>
              </w:rPr>
            </w:pPr>
          </w:p>
          <w:p>
            <w:pPr>
              <w:pStyle w:val="39"/>
              <w:rPr>
                <w:rFonts w:hint="eastAsia"/>
                <w:lang w:val="en-US" w:eastAsia="zh-CN"/>
              </w:rPr>
            </w:pPr>
          </w:p>
          <w:p>
            <w:pPr>
              <w:pageBreakBefore w:val="0"/>
              <w:numPr>
                <w:ilvl w:val="0"/>
                <w:numId w:val="0"/>
              </w:numPr>
              <w:autoSpaceDE/>
              <w:autoSpaceDN/>
              <w:bidi w:val="0"/>
              <w:snapToGrid w:val="0"/>
              <w:spacing w:before="0" w:after="0" w:line="360" w:lineRule="auto"/>
              <w:ind w:right="0" w:rightChars="0"/>
              <w:jc w:val="both"/>
              <w:rPr>
                <w:rFonts w:hint="eastAsia" w:ascii="Times New Roman" w:hAnsi="宋体" w:eastAsia="宋体"/>
                <w:color w:val="auto"/>
                <w:position w:val="0"/>
                <w:sz w:val="24"/>
                <w:szCs w:val="24"/>
                <w:lang w:val="en-US" w:eastAsia="zh-CN"/>
              </w:rPr>
            </w:pPr>
          </w:p>
          <w:p>
            <w:pPr>
              <w:pageBreakBefore w:val="0"/>
              <w:numPr>
                <w:ilvl w:val="0"/>
                <w:numId w:val="0"/>
              </w:numPr>
              <w:autoSpaceDE/>
              <w:autoSpaceDN/>
              <w:bidi w:val="0"/>
              <w:snapToGrid w:val="0"/>
              <w:spacing w:before="0" w:after="0" w:line="360" w:lineRule="auto"/>
              <w:ind w:right="0" w:rightChars="0" w:firstLine="720" w:firstLineChars="300"/>
              <w:jc w:val="both"/>
              <w:rPr>
                <w:rFonts w:hint="default" w:ascii="Times New Roman" w:hAnsi="宋体" w:eastAsia="宋体"/>
                <w:color w:val="auto"/>
                <w:position w:val="0"/>
                <w:sz w:val="24"/>
                <w:szCs w:val="24"/>
              </w:rPr>
            </w:pPr>
            <w:r>
              <w:rPr>
                <w:rFonts w:hint="eastAsia" w:ascii="Times New Roman" w:hAnsi="宋体" w:eastAsia="宋体"/>
                <w:color w:val="auto"/>
                <w:position w:val="0"/>
                <w:sz w:val="24"/>
                <w:szCs w:val="24"/>
                <w:lang w:val="en-US" w:eastAsia="zh-CN"/>
              </w:rPr>
              <w:t>2、</w:t>
            </w:r>
            <w:r>
              <w:rPr>
                <w:rFonts w:hint="default" w:ascii="Times New Roman" w:hAnsi="宋体" w:eastAsia="宋体"/>
                <w:color w:val="auto"/>
                <w:position w:val="0"/>
                <w:sz w:val="24"/>
                <w:szCs w:val="24"/>
              </w:rPr>
              <w:t>工艺流程简述</w:t>
            </w:r>
          </w:p>
          <w:p>
            <w:pPr>
              <w:pStyle w:val="8"/>
              <w:ind w:left="0" w:leftChars="0" w:firstLine="0" w:firstLineChars="0"/>
              <w:rPr>
                <w:rFonts w:hint="eastAsia" w:ascii="Times New Roman" w:hAnsi="宋体" w:eastAsia="宋体"/>
                <w:color w:val="auto"/>
                <w:position w:val="0"/>
                <w:sz w:val="24"/>
                <w:szCs w:val="24"/>
                <w:lang w:eastAsia="zh-CN"/>
              </w:rPr>
            </w:pPr>
          </w:p>
          <w:p>
            <w:pPr>
              <w:pStyle w:val="2"/>
              <w:spacing w:after="0"/>
              <w:ind w:left="0" w:leftChars="0" w:firstLine="480"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工艺流程简述：</w:t>
            </w:r>
          </w:p>
          <w:p>
            <w:pPr>
              <w:pStyle w:val="2"/>
              <w:spacing w:after="0"/>
              <w:ind w:left="0" w:leftChars="0" w:firstLine="456"/>
              <w:rPr>
                <w:rFonts w:hint="default" w:ascii="Times New Roman" w:hAnsi="Times New Roman" w:eastAsia="Times New Roman" w:cs="Times New Roman"/>
                <w:b w:val="0"/>
                <w:color w:val="auto"/>
                <w:w w:val="100"/>
                <w:sz w:val="24"/>
                <w:szCs w:val="24"/>
                <w:shd w:val="clear"/>
                <w:lang w:eastAsia="zh-CN"/>
              </w:rPr>
            </w:pPr>
            <w:r>
              <w:rPr>
                <w:rFonts w:hint="default" w:ascii="Times New Roman" w:hAnsi="Times New Roman" w:eastAsia="Times New Roman" w:cs="Times New Roman"/>
                <w:b w:val="0"/>
                <w:color w:val="auto"/>
                <w:w w:val="100"/>
                <w:sz w:val="24"/>
                <w:szCs w:val="24"/>
                <w:shd w:val="clear"/>
                <w:lang w:val="en-US" w:eastAsia="zh-CN"/>
              </w:rPr>
              <w:t>①</w:t>
            </w:r>
            <w:r>
              <w:rPr>
                <w:rFonts w:hint="default" w:ascii="Times New Roman" w:hAnsi="Times New Roman" w:eastAsia="Times New Roman" w:cs="Times New Roman"/>
                <w:b w:val="0"/>
                <w:color w:val="auto"/>
                <w:w w:val="100"/>
                <w:sz w:val="24"/>
                <w:szCs w:val="24"/>
                <w:shd w:val="clear"/>
                <w:lang w:eastAsia="zh-CN"/>
              </w:rPr>
              <w:t>收购原料：收购来的人发暂存于车间内。</w:t>
            </w:r>
          </w:p>
          <w:p>
            <w:pPr>
              <w:pStyle w:val="2"/>
              <w:spacing w:after="0"/>
              <w:ind w:left="0" w:leftChars="0" w:firstLine="456"/>
              <w:rPr>
                <w:rFonts w:hint="default" w:ascii="Times New Roman" w:hAnsi="Times New Roman" w:eastAsia="Times New Roman" w:cs="Times New Roman"/>
                <w:b w:val="0"/>
                <w:color w:val="auto"/>
                <w:w w:val="100"/>
                <w:sz w:val="24"/>
                <w:szCs w:val="24"/>
                <w:shd w:val="clear"/>
                <w:lang w:val="en-US" w:eastAsia="zh-CN"/>
              </w:rPr>
            </w:pPr>
            <w:r>
              <w:rPr>
                <w:rFonts w:hint="default" w:ascii="Times New Roman" w:hAnsi="Times New Roman" w:eastAsia="Times New Roman" w:cs="Times New Roman"/>
                <w:b w:val="0"/>
                <w:color w:val="auto"/>
                <w:w w:val="100"/>
                <w:sz w:val="24"/>
                <w:szCs w:val="24"/>
                <w:shd w:val="clear"/>
                <w:lang w:val="en-US" w:eastAsia="zh-CN"/>
              </w:rPr>
              <w:t>②</w:t>
            </w:r>
            <w:r>
              <w:rPr>
                <w:rFonts w:hint="eastAsia" w:ascii="Times New Roman" w:hAnsi="Times New Roman" w:eastAsia="Times New Roman" w:cs="Times New Roman"/>
                <w:b w:val="0"/>
                <w:color w:val="auto"/>
                <w:w w:val="100"/>
                <w:sz w:val="24"/>
                <w:szCs w:val="24"/>
                <w:shd w:val="clear"/>
                <w:lang w:val="en-US" w:eastAsia="zh-CN"/>
              </w:rPr>
              <w:t>配酸、</w:t>
            </w:r>
            <w:r>
              <w:rPr>
                <w:rFonts w:hint="eastAsia" w:ascii="Times New Roman" w:hAnsi="Times New Roman" w:eastAsia="Times New Roman" w:cs="Times New Roman"/>
                <w:b w:val="0"/>
                <w:color w:val="auto"/>
                <w:w w:val="100"/>
                <w:sz w:val="24"/>
                <w:szCs w:val="24"/>
                <w:shd w:val="clear"/>
                <w:lang w:eastAsia="zh-CN"/>
              </w:rPr>
              <w:t>酸洗</w:t>
            </w:r>
            <w:r>
              <w:rPr>
                <w:rFonts w:hint="default" w:ascii="Times New Roman" w:hAnsi="Times New Roman" w:eastAsia="Times New Roman" w:cs="Times New Roman"/>
                <w:b w:val="0"/>
                <w:color w:val="auto"/>
                <w:w w:val="100"/>
                <w:sz w:val="24"/>
                <w:szCs w:val="24"/>
                <w:shd w:val="clear"/>
                <w:lang w:eastAsia="zh-CN"/>
              </w:rPr>
              <w:t>：由于外购的人发中含有少量的污垢，如不洗净会影响到发制品的质量，因此外购的人发首先要进行洗涤。将人发放入含稀H</w:t>
            </w:r>
            <w:r>
              <w:rPr>
                <w:rFonts w:hint="default" w:ascii="Times New Roman" w:hAnsi="Times New Roman" w:eastAsia="Times New Roman" w:cs="Times New Roman"/>
                <w:b w:val="0"/>
                <w:color w:val="auto"/>
                <w:w w:val="100"/>
                <w:sz w:val="24"/>
                <w:szCs w:val="24"/>
                <w:shd w:val="clear"/>
                <w:lang w:val="en-US" w:eastAsia="zh-CN"/>
              </w:rPr>
              <w:t>2</w:t>
            </w:r>
            <w:r>
              <w:rPr>
                <w:rFonts w:hint="default" w:ascii="Times New Roman" w:hAnsi="Times New Roman" w:eastAsia="Times New Roman" w:cs="Times New Roman"/>
                <w:b w:val="0"/>
                <w:color w:val="auto"/>
                <w:w w:val="100"/>
                <w:sz w:val="24"/>
                <w:szCs w:val="24"/>
                <w:shd w:val="clear"/>
                <w:lang w:eastAsia="zh-CN"/>
              </w:rPr>
              <w:t>SO</w:t>
            </w:r>
            <w:r>
              <w:rPr>
                <w:rFonts w:hint="default" w:ascii="Times New Roman" w:hAnsi="Times New Roman" w:eastAsia="Times New Roman" w:cs="Times New Roman"/>
                <w:b w:val="0"/>
                <w:color w:val="auto"/>
                <w:w w:val="100"/>
                <w:sz w:val="24"/>
                <w:szCs w:val="24"/>
                <w:shd w:val="clear"/>
                <w:lang w:val="en-US" w:eastAsia="zh-CN"/>
              </w:rPr>
              <w:t>4</w:t>
            </w:r>
            <w:r>
              <w:rPr>
                <w:rFonts w:hint="default" w:ascii="Times New Roman" w:hAnsi="Times New Roman" w:eastAsia="Times New Roman" w:cs="Times New Roman"/>
                <w:b w:val="0"/>
                <w:color w:val="auto"/>
                <w:w w:val="100"/>
                <w:sz w:val="24"/>
                <w:szCs w:val="24"/>
                <w:shd w:val="clear"/>
                <w:lang w:eastAsia="zh-CN"/>
              </w:rPr>
              <w:t>溶液的洗槽中，同时加入少量次氯酸钠，浸泡一定时间</w:t>
            </w:r>
            <w:r>
              <w:rPr>
                <w:rFonts w:hint="eastAsia" w:ascii="Times New Roman" w:hAnsi="Times New Roman" w:eastAsia="Times New Roman" w:cs="Times New Roman"/>
                <w:b w:val="0"/>
                <w:color w:val="auto"/>
                <w:w w:val="100"/>
                <w:sz w:val="24"/>
                <w:szCs w:val="24"/>
                <w:shd w:val="clear"/>
                <w:lang w:eastAsia="zh-CN"/>
              </w:rPr>
              <w:t>，将浸泡好的人发在酸洗槽</w:t>
            </w:r>
            <w:r>
              <w:rPr>
                <w:rFonts w:hint="default" w:ascii="Times New Roman" w:hAnsi="Times New Roman" w:eastAsia="Times New Roman" w:cs="Times New Roman"/>
                <w:b w:val="0"/>
                <w:color w:val="auto"/>
                <w:w w:val="100"/>
                <w:sz w:val="24"/>
                <w:szCs w:val="24"/>
                <w:shd w:val="clear"/>
                <w:lang w:eastAsia="zh-CN"/>
              </w:rPr>
              <w:t>捞出</w:t>
            </w:r>
            <w:r>
              <w:rPr>
                <w:rFonts w:hint="eastAsia" w:ascii="Times New Roman" w:hAnsi="Times New Roman" w:eastAsia="Times New Roman" w:cs="Times New Roman"/>
                <w:b w:val="0"/>
                <w:color w:val="auto"/>
                <w:w w:val="100"/>
                <w:sz w:val="24"/>
                <w:szCs w:val="24"/>
                <w:shd w:val="clear"/>
                <w:lang w:eastAsia="zh-CN"/>
              </w:rPr>
              <w:t>并沥水后（沥入酸洗槽）。此工序产生的污染无主要为硫酸挥发产生的</w:t>
            </w:r>
            <w:r>
              <w:rPr>
                <w:rFonts w:hint="eastAsia" w:ascii="Times New Roman" w:hAnsi="Times New Roman" w:eastAsia="Times New Roman" w:cs="Times New Roman"/>
                <w:b w:val="0"/>
                <w:color w:val="auto"/>
                <w:w w:val="100"/>
                <w:sz w:val="24"/>
                <w:szCs w:val="24"/>
                <w:shd w:val="clear"/>
                <w:lang w:val="en-US" w:eastAsia="zh-CN"/>
              </w:rPr>
              <w:t>G1</w:t>
            </w:r>
            <w:r>
              <w:rPr>
                <w:rFonts w:hint="eastAsia" w:ascii="Times New Roman" w:hAnsi="Times New Roman" w:eastAsia="Times New Roman" w:cs="Times New Roman"/>
                <w:b w:val="0"/>
                <w:color w:val="auto"/>
                <w:w w:val="100"/>
                <w:sz w:val="24"/>
                <w:szCs w:val="24"/>
                <w:shd w:val="clear"/>
                <w:lang w:eastAsia="zh-CN"/>
              </w:rPr>
              <w:t>硫酸酸雾。</w:t>
            </w:r>
          </w:p>
          <w:p>
            <w:pPr>
              <w:pStyle w:val="2"/>
              <w:spacing w:after="0"/>
              <w:ind w:left="0" w:leftChars="0" w:firstLine="456"/>
              <w:rPr>
                <w:rFonts w:hint="eastAsia" w:ascii="Times New Roman" w:hAnsi="Times New Roman" w:eastAsia="Times New Roman" w:cs="Times New Roman"/>
                <w:b w:val="0"/>
                <w:color w:val="auto"/>
                <w:w w:val="100"/>
                <w:sz w:val="24"/>
                <w:szCs w:val="24"/>
                <w:shd w:val="clear"/>
                <w:lang w:eastAsia="zh-CN"/>
              </w:rPr>
            </w:pPr>
            <w:r>
              <w:rPr>
                <w:rFonts w:hint="default" w:ascii="Times New Roman" w:hAnsi="Times New Roman" w:eastAsia="Times New Roman" w:cs="Times New Roman"/>
                <w:b w:val="0"/>
                <w:color w:val="auto"/>
                <w:w w:val="100"/>
                <w:sz w:val="24"/>
                <w:szCs w:val="24"/>
                <w:shd w:val="clear"/>
                <w:lang w:val="en-US" w:eastAsia="zh-CN"/>
              </w:rPr>
              <w:t>③</w:t>
            </w:r>
            <w:r>
              <w:rPr>
                <w:rFonts w:hint="eastAsia" w:ascii="Times New Roman" w:hAnsi="Times New Roman" w:eastAsia="Times New Roman" w:cs="Times New Roman"/>
                <w:b w:val="0"/>
                <w:color w:val="auto"/>
                <w:w w:val="100"/>
                <w:sz w:val="24"/>
                <w:szCs w:val="24"/>
                <w:shd w:val="clear"/>
                <w:lang w:val="en-US" w:eastAsia="zh-CN"/>
              </w:rPr>
              <w:t>中和</w:t>
            </w:r>
            <w:r>
              <w:rPr>
                <w:rFonts w:hint="default" w:ascii="Times New Roman" w:hAnsi="Times New Roman" w:eastAsia="Times New Roman" w:cs="Times New Roman"/>
                <w:b w:val="0"/>
                <w:color w:val="auto"/>
                <w:w w:val="100"/>
                <w:sz w:val="24"/>
                <w:szCs w:val="24"/>
                <w:shd w:val="clear"/>
                <w:lang w:eastAsia="zh-CN"/>
              </w:rPr>
              <w:t>：</w:t>
            </w:r>
            <w:r>
              <w:rPr>
                <w:rFonts w:hint="eastAsia" w:ascii="Times New Roman" w:hAnsi="Times New Roman" w:eastAsia="Times New Roman" w:cs="Times New Roman"/>
                <w:b w:val="0"/>
                <w:color w:val="auto"/>
                <w:w w:val="100"/>
                <w:sz w:val="24"/>
                <w:szCs w:val="24"/>
                <w:shd w:val="clear"/>
                <w:lang w:eastAsia="zh-CN"/>
              </w:rPr>
              <w:t>沥水后的人发</w:t>
            </w:r>
            <w:r>
              <w:rPr>
                <w:rFonts w:hint="default" w:ascii="Times New Roman" w:hAnsi="Times New Roman" w:eastAsia="Times New Roman" w:cs="Times New Roman"/>
                <w:b w:val="0"/>
                <w:color w:val="auto"/>
                <w:w w:val="100"/>
                <w:sz w:val="24"/>
                <w:szCs w:val="24"/>
                <w:shd w:val="clear"/>
                <w:lang w:eastAsia="zh-CN"/>
              </w:rPr>
              <w:t>放入含氨水的洗槽进行中和、浸泡</w:t>
            </w:r>
            <w:r>
              <w:rPr>
                <w:rFonts w:hint="eastAsia" w:ascii="Times New Roman" w:hAnsi="Times New Roman" w:eastAsia="Times New Roman" w:cs="Times New Roman"/>
                <w:b w:val="0"/>
                <w:color w:val="auto"/>
                <w:w w:val="100"/>
                <w:sz w:val="24"/>
                <w:szCs w:val="24"/>
                <w:shd w:val="clear"/>
                <w:lang w:eastAsia="zh-CN"/>
              </w:rPr>
              <w:t>，</w:t>
            </w:r>
            <w:r>
              <w:rPr>
                <w:rFonts w:hint="default" w:ascii="Times New Roman" w:hAnsi="Times New Roman" w:eastAsia="Times New Roman" w:cs="Times New Roman"/>
                <w:b w:val="0"/>
                <w:color w:val="auto"/>
                <w:w w:val="100"/>
                <w:sz w:val="24"/>
                <w:szCs w:val="24"/>
                <w:shd w:val="clear"/>
                <w:lang w:eastAsia="zh-CN"/>
              </w:rPr>
              <w:t>结束后将人发捞出</w:t>
            </w:r>
            <w:r>
              <w:rPr>
                <w:rFonts w:hint="eastAsia" w:ascii="Times New Roman" w:hAnsi="Times New Roman" w:eastAsia="Times New Roman" w:cs="Times New Roman"/>
                <w:b w:val="0"/>
                <w:color w:val="auto"/>
                <w:w w:val="100"/>
                <w:sz w:val="24"/>
                <w:szCs w:val="24"/>
                <w:shd w:val="clear"/>
                <w:lang w:eastAsia="zh-CN"/>
              </w:rPr>
              <w:t>沥水。此过程产生的污染物主要为</w:t>
            </w:r>
            <w:r>
              <w:rPr>
                <w:rFonts w:hint="eastAsia" w:ascii="Times New Roman" w:hAnsi="Times New Roman" w:eastAsia="Times New Roman" w:cs="Times New Roman"/>
                <w:b w:val="0"/>
                <w:color w:val="auto"/>
                <w:w w:val="100"/>
                <w:sz w:val="24"/>
                <w:szCs w:val="24"/>
                <w:shd w:val="clear"/>
                <w:lang w:val="en-US" w:eastAsia="zh-CN"/>
              </w:rPr>
              <w:t>G2</w:t>
            </w:r>
            <w:r>
              <w:rPr>
                <w:rFonts w:hint="eastAsia" w:ascii="Times New Roman" w:hAnsi="Times New Roman" w:eastAsia="Times New Roman" w:cs="Times New Roman"/>
                <w:b w:val="0"/>
                <w:color w:val="auto"/>
                <w:w w:val="100"/>
                <w:sz w:val="24"/>
                <w:szCs w:val="24"/>
                <w:shd w:val="clear"/>
                <w:lang w:eastAsia="zh-CN"/>
              </w:rPr>
              <w:t>含氨废气。</w:t>
            </w:r>
          </w:p>
          <w:p>
            <w:pPr>
              <w:pStyle w:val="2"/>
              <w:spacing w:after="0"/>
              <w:ind w:left="0" w:leftChars="0" w:firstLine="456"/>
              <w:rPr>
                <w:rFonts w:hint="default" w:ascii="Times New Roman" w:hAnsi="Times New Roman" w:eastAsia="Times New Roman" w:cs="Times New Roman"/>
                <w:b w:val="0"/>
                <w:color w:val="auto"/>
                <w:w w:val="100"/>
                <w:sz w:val="24"/>
                <w:szCs w:val="24"/>
                <w:shd w:val="clear"/>
                <w:lang w:eastAsia="zh-CN"/>
              </w:rPr>
            </w:pPr>
            <w:r>
              <w:rPr>
                <w:rFonts w:hint="default" w:ascii="Times New Roman" w:hAnsi="Times New Roman" w:eastAsia="Times New Roman" w:cs="Times New Roman"/>
                <w:b w:val="0"/>
                <w:color w:val="auto"/>
                <w:w w:val="100"/>
                <w:sz w:val="24"/>
                <w:szCs w:val="24"/>
                <w:shd w:val="clear"/>
                <w:lang w:val="en-US" w:eastAsia="zh-CN"/>
              </w:rPr>
              <w:t>④</w:t>
            </w:r>
            <w:r>
              <w:rPr>
                <w:rFonts w:hint="eastAsia" w:ascii="Times New Roman" w:hAnsi="Times New Roman" w:eastAsia="Times New Roman" w:cs="Times New Roman"/>
                <w:b w:val="0"/>
                <w:color w:val="auto"/>
                <w:w w:val="100"/>
                <w:sz w:val="24"/>
                <w:szCs w:val="24"/>
                <w:shd w:val="clear"/>
                <w:lang w:val="en-US" w:eastAsia="zh-CN"/>
              </w:rPr>
              <w:t>清洗、烘干</w:t>
            </w:r>
            <w:r>
              <w:rPr>
                <w:rFonts w:hint="default" w:ascii="Times New Roman" w:hAnsi="Times New Roman" w:eastAsia="Times New Roman" w:cs="Times New Roman"/>
                <w:b w:val="0"/>
                <w:color w:val="auto"/>
                <w:w w:val="100"/>
                <w:sz w:val="24"/>
                <w:szCs w:val="24"/>
                <w:shd w:val="clear"/>
                <w:lang w:eastAsia="zh-CN"/>
              </w:rPr>
              <w:t>：用清水冲洗干净，洗发废水排放，废水中主要污染物有脂类、盐类及泥砂等。冲洗干净后的人发在甩出水分后再进入烘干机使用蒸汽进行烘干。此工序产生的污染物为清洗产生的清洗废水</w:t>
            </w:r>
            <w:r>
              <w:rPr>
                <w:rFonts w:hint="eastAsia" w:ascii="Times New Roman" w:hAnsi="Times New Roman" w:eastAsia="Times New Roman" w:cs="Times New Roman"/>
                <w:b w:val="0"/>
                <w:color w:val="auto"/>
                <w:w w:val="100"/>
                <w:sz w:val="24"/>
                <w:szCs w:val="24"/>
                <w:shd w:val="clear"/>
                <w:lang w:val="en-US" w:eastAsia="zh-CN"/>
              </w:rPr>
              <w:t>W1</w:t>
            </w:r>
            <w:r>
              <w:rPr>
                <w:rFonts w:hint="default" w:ascii="Times New Roman" w:hAnsi="Times New Roman" w:eastAsia="Times New Roman" w:cs="Times New Roman"/>
                <w:b w:val="0"/>
                <w:color w:val="auto"/>
                <w:w w:val="100"/>
                <w:sz w:val="24"/>
                <w:szCs w:val="24"/>
                <w:shd w:val="clear"/>
                <w:lang w:eastAsia="zh-CN"/>
              </w:rPr>
              <w:t>。</w:t>
            </w:r>
          </w:p>
          <w:p>
            <w:pPr>
              <w:pStyle w:val="2"/>
              <w:spacing w:after="0"/>
              <w:ind w:left="0" w:leftChars="0" w:firstLine="456"/>
              <w:rPr>
                <w:rFonts w:hint="default" w:ascii="Times New Roman" w:hAnsi="Times New Roman" w:eastAsia="Times New Roman" w:cs="Times New Roman"/>
                <w:b w:val="0"/>
                <w:color w:val="auto"/>
                <w:w w:val="100"/>
                <w:sz w:val="24"/>
                <w:szCs w:val="24"/>
                <w:shd w:val="clear"/>
                <w:lang w:eastAsia="zh-CN"/>
              </w:rPr>
            </w:pPr>
            <w:r>
              <w:rPr>
                <w:rFonts w:hint="default" w:ascii="Times New Roman" w:hAnsi="Times New Roman" w:eastAsia="Times New Roman" w:cs="Times New Roman"/>
                <w:b w:val="0"/>
                <w:color w:val="auto"/>
                <w:w w:val="100"/>
                <w:sz w:val="24"/>
                <w:szCs w:val="24"/>
                <w:shd w:val="clear"/>
                <w:lang w:val="en-US" w:eastAsia="zh-CN"/>
              </w:rPr>
              <w:t>⑤</w:t>
            </w:r>
            <w:r>
              <w:rPr>
                <w:rFonts w:hint="default" w:ascii="Times New Roman" w:hAnsi="Times New Roman" w:eastAsia="Times New Roman" w:cs="Times New Roman"/>
                <w:b w:val="0"/>
                <w:color w:val="auto"/>
                <w:w w:val="100"/>
                <w:sz w:val="24"/>
                <w:szCs w:val="24"/>
                <w:shd w:val="clear"/>
                <w:lang w:eastAsia="zh-CN"/>
              </w:rPr>
              <w:t>档发：洗净后的人发，在档发设备上进行档发处理，使得人发能够保持整齐和理顺，此过程会产生固废碎发</w:t>
            </w:r>
            <w:r>
              <w:rPr>
                <w:rFonts w:hint="eastAsia" w:ascii="Times New Roman" w:hAnsi="Times New Roman" w:eastAsia="Times New Roman" w:cs="Times New Roman"/>
                <w:b w:val="0"/>
                <w:color w:val="auto"/>
                <w:w w:val="100"/>
                <w:sz w:val="24"/>
                <w:szCs w:val="24"/>
                <w:shd w:val="clear"/>
                <w:lang w:val="en-US" w:eastAsia="zh-CN"/>
              </w:rPr>
              <w:t>S1</w:t>
            </w:r>
            <w:r>
              <w:rPr>
                <w:rFonts w:hint="default" w:ascii="Times New Roman" w:hAnsi="Times New Roman" w:eastAsia="Times New Roman" w:cs="Times New Roman"/>
                <w:b w:val="0"/>
                <w:color w:val="auto"/>
                <w:w w:val="100"/>
                <w:sz w:val="24"/>
                <w:szCs w:val="24"/>
                <w:shd w:val="clear"/>
                <w:lang w:eastAsia="zh-CN"/>
              </w:rPr>
              <w:t>。</w:t>
            </w:r>
          </w:p>
          <w:p>
            <w:pPr>
              <w:spacing w:line="360" w:lineRule="auto"/>
              <w:ind w:firstLine="480" w:firstLineChars="200"/>
              <w:rPr>
                <w:rFonts w:hint="default" w:ascii="Times New Roman" w:hAnsi="Times New Roman" w:eastAsia="Times New Roman" w:cs="Times New Roman"/>
                <w:b w:val="0"/>
                <w:color w:val="auto"/>
                <w:w w:val="100"/>
                <w:sz w:val="24"/>
                <w:szCs w:val="24"/>
                <w:shd w:val="clear"/>
                <w:lang w:eastAsia="zh-CN"/>
              </w:rPr>
            </w:pPr>
            <w:r>
              <w:rPr>
                <w:rFonts w:hint="default" w:ascii="Times New Roman" w:hAnsi="Times New Roman" w:eastAsia="Times New Roman" w:cs="Times New Roman"/>
                <w:b w:val="0"/>
                <w:color w:val="auto"/>
                <w:w w:val="100"/>
                <w:sz w:val="24"/>
                <w:szCs w:val="24"/>
                <w:shd w:val="clear"/>
                <w:lang w:val="en-US" w:eastAsia="zh-CN"/>
              </w:rPr>
              <w:t>⑥</w:t>
            </w:r>
            <w:r>
              <w:rPr>
                <w:rFonts w:hint="default" w:ascii="Times New Roman" w:hAnsi="Times New Roman" w:eastAsia="Times New Roman" w:cs="Times New Roman"/>
                <w:b w:val="0"/>
                <w:color w:val="auto"/>
                <w:w w:val="100"/>
                <w:sz w:val="24"/>
                <w:szCs w:val="24"/>
                <w:shd w:val="clear"/>
                <w:lang w:eastAsia="zh-CN"/>
              </w:rPr>
              <w:t>机制双针：将理顺的人发在双联机上进行缝制，制得一绺一绺的发制品。</w:t>
            </w:r>
          </w:p>
          <w:p>
            <w:pPr>
              <w:pStyle w:val="2"/>
              <w:snapToGrid w:val="0"/>
              <w:spacing w:after="0"/>
              <w:ind w:left="0" w:leftChars="0" w:firstLine="456"/>
              <w:rPr>
                <w:rFonts w:hint="default" w:ascii="Times New Roman" w:hAnsi="Times New Roman" w:eastAsia="Times New Roman" w:cs="Times New Roman"/>
                <w:b w:val="0"/>
                <w:color w:val="auto"/>
                <w:w w:val="100"/>
                <w:sz w:val="24"/>
                <w:szCs w:val="24"/>
                <w:shd w:val="clear"/>
                <w:lang w:eastAsia="zh-CN"/>
              </w:rPr>
            </w:pPr>
            <w:r>
              <w:rPr>
                <w:rFonts w:hint="eastAsia" w:ascii="Times New Roman" w:hAnsi="Times New Roman" w:eastAsia="Times New Roman" w:cs="Times New Roman"/>
                <w:b w:val="0"/>
                <w:color w:val="auto"/>
                <w:w w:val="100"/>
                <w:sz w:val="24"/>
                <w:szCs w:val="24"/>
                <w:shd w:val="clear"/>
                <w:lang w:eastAsia="zh-CN"/>
              </w:rPr>
              <w:t>⑦</w:t>
            </w:r>
            <w:r>
              <w:rPr>
                <w:rFonts w:hint="default" w:ascii="Times New Roman" w:hAnsi="Times New Roman" w:eastAsia="Times New Roman" w:cs="Times New Roman"/>
                <w:b w:val="0"/>
                <w:color w:val="auto"/>
                <w:w w:val="100"/>
                <w:sz w:val="24"/>
                <w:szCs w:val="24"/>
                <w:shd w:val="clear"/>
                <w:lang w:eastAsia="zh-CN"/>
              </w:rPr>
              <w:t>护发：该操作是用焦磷酸钠等柔软剂、滑爽剂对发条、发帘进行处理，然后放人清水池中，用水洗干净，无废气产生。</w:t>
            </w:r>
          </w:p>
          <w:p>
            <w:pPr>
              <w:adjustRightInd w:val="0"/>
              <w:snapToGrid w:val="0"/>
              <w:spacing w:line="360" w:lineRule="auto"/>
              <w:ind w:firstLine="480" w:firstLineChars="200"/>
              <w:rPr>
                <w:rFonts w:hint="default" w:ascii="Times New Roman" w:hAnsi="Times New Roman" w:eastAsia="Times New Roman" w:cs="Times New Roman"/>
                <w:b w:val="0"/>
                <w:color w:val="auto"/>
                <w:w w:val="100"/>
                <w:sz w:val="24"/>
                <w:szCs w:val="24"/>
                <w:shd w:val="clear"/>
                <w:lang w:eastAsia="zh-CN"/>
              </w:rPr>
            </w:pPr>
            <w:r>
              <w:rPr>
                <w:rFonts w:hint="eastAsia" w:ascii="Times New Roman" w:hAnsi="Times New Roman" w:eastAsia="Times New Roman" w:cs="Times New Roman"/>
                <w:b w:val="0"/>
                <w:color w:val="auto"/>
                <w:w w:val="100"/>
                <w:sz w:val="24"/>
                <w:szCs w:val="24"/>
                <w:shd w:val="clear"/>
                <w:lang w:val="en-US" w:eastAsia="zh-CN"/>
              </w:rPr>
              <w:t>⑧</w:t>
            </w:r>
            <w:r>
              <w:rPr>
                <w:rFonts w:hint="default" w:ascii="Times New Roman" w:hAnsi="Times New Roman" w:eastAsia="Times New Roman" w:cs="Times New Roman"/>
                <w:b w:val="0"/>
                <w:color w:val="auto"/>
                <w:w w:val="100"/>
                <w:sz w:val="24"/>
                <w:szCs w:val="24"/>
                <w:shd w:val="clear"/>
                <w:lang w:eastAsia="zh-CN"/>
              </w:rPr>
              <w:t>烘干：将发制品分档、麻顺、放置到烘干房内，烘干温度70-90℃，时间1-2小时，有造型需要的人发，送至定型烘干机，烘干温度100-120℃，压力0.2MPa，烘干时间1-2小时，烘干室热源为园区蒸汽</w:t>
            </w:r>
            <w:r>
              <w:rPr>
                <w:rFonts w:hint="default" w:ascii="Times New Roman" w:hAnsi="Times New Roman" w:cs="Times New Roman"/>
                <w:color w:val="auto"/>
                <w:sz w:val="24"/>
                <w:szCs w:val="24"/>
                <w:lang w:eastAsia="zh-CN"/>
              </w:rPr>
              <w:t>管道供汽</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将烘干后的发制品，</w:t>
            </w:r>
            <w:r>
              <w:rPr>
                <w:rFonts w:hint="default" w:ascii="Times New Roman" w:hAnsi="Times New Roman" w:eastAsia="Times New Roman" w:cs="Times New Roman"/>
                <w:b w:val="0"/>
                <w:color w:val="auto"/>
                <w:w w:val="100"/>
                <w:sz w:val="24"/>
                <w:szCs w:val="24"/>
                <w:shd w:val="clear"/>
                <w:lang w:eastAsia="zh-CN"/>
              </w:rPr>
              <w:t>送到拉发工位，通过手工拉发，理顺人发，经过称重，将人发捆成一绺一绺的半成品，待用。</w:t>
            </w:r>
          </w:p>
          <w:p>
            <w:pPr>
              <w:adjustRightInd w:val="0"/>
              <w:snapToGrid w:val="0"/>
              <w:spacing w:line="360" w:lineRule="auto"/>
              <w:ind w:firstLine="480" w:firstLineChars="200"/>
              <w:rPr>
                <w:rFonts w:hint="default" w:ascii="Times New Roman" w:hAnsi="Times New Roman" w:eastAsia="Times New Roman" w:cs="Times New Roman"/>
                <w:b w:val="0"/>
                <w:color w:val="auto"/>
                <w:w w:val="100"/>
                <w:sz w:val="24"/>
                <w:szCs w:val="24"/>
                <w:shd w:val="clear"/>
                <w:lang w:eastAsia="zh-CN"/>
              </w:rPr>
            </w:pPr>
            <w:r>
              <w:rPr>
                <w:rFonts w:hint="eastAsia" w:ascii="Times New Roman" w:hAnsi="Times New Roman" w:eastAsia="Times New Roman" w:cs="Times New Roman"/>
                <w:b w:val="0"/>
                <w:color w:val="auto"/>
                <w:w w:val="100"/>
                <w:sz w:val="24"/>
                <w:szCs w:val="24"/>
                <w:shd w:val="clear"/>
                <w:lang w:eastAsia="zh-CN"/>
              </w:rPr>
              <w:t>⑨</w:t>
            </w:r>
            <w:r>
              <w:rPr>
                <w:rFonts w:hint="default" w:ascii="Times New Roman" w:hAnsi="Times New Roman" w:eastAsia="Times New Roman" w:cs="Times New Roman"/>
                <w:b w:val="0"/>
                <w:color w:val="auto"/>
                <w:w w:val="100"/>
                <w:sz w:val="24"/>
                <w:szCs w:val="24"/>
                <w:shd w:val="clear"/>
                <w:lang w:eastAsia="zh-CN"/>
              </w:rPr>
              <w:t>三联机加工：将配重好的</w:t>
            </w:r>
            <w:r>
              <w:rPr>
                <w:rFonts w:hint="eastAsia" w:ascii="Times New Roman" w:hAnsi="Times New Roman" w:eastAsia="Times New Roman" w:cs="Times New Roman"/>
                <w:b w:val="0"/>
                <w:color w:val="auto"/>
                <w:w w:val="100"/>
                <w:sz w:val="24"/>
                <w:szCs w:val="24"/>
                <w:shd w:val="clear"/>
                <w:lang w:eastAsia="zh-CN"/>
              </w:rPr>
              <w:t>发</w:t>
            </w:r>
            <w:r>
              <w:rPr>
                <w:rFonts w:hint="default" w:ascii="Times New Roman" w:hAnsi="Times New Roman" w:eastAsia="Times New Roman" w:cs="Times New Roman"/>
                <w:b w:val="0"/>
                <w:color w:val="auto"/>
                <w:w w:val="100"/>
                <w:sz w:val="24"/>
                <w:szCs w:val="24"/>
                <w:shd w:val="clear"/>
                <w:lang w:eastAsia="zh-CN"/>
              </w:rPr>
              <w:t>条进行三联机缝纫成发条后者切片、后处理、卷管造型。</w:t>
            </w:r>
          </w:p>
          <w:p>
            <w:pPr>
              <w:adjustRightInd w:val="0"/>
              <w:snapToGrid w:val="0"/>
              <w:spacing w:line="360" w:lineRule="auto"/>
              <w:ind w:firstLine="480" w:firstLineChars="200"/>
              <w:rPr>
                <w:rFonts w:hint="default" w:ascii="Times New Roman" w:hAnsi="Times New Roman" w:eastAsia="宋体" w:cs="Times New Roman"/>
                <w:color w:val="auto"/>
                <w:spacing w:val="-6"/>
                <w:kern w:val="2"/>
                <w:sz w:val="24"/>
                <w:szCs w:val="24"/>
                <w:u w:val="none"/>
                <w:lang w:val="en-US" w:eastAsia="zh-CN" w:bidi="ar-SA"/>
              </w:rPr>
            </w:pPr>
            <w:r>
              <w:rPr>
                <w:rFonts w:hint="eastAsia" w:ascii="Times New Roman" w:hAnsi="Times New Roman" w:eastAsia="Times New Roman" w:cs="Times New Roman"/>
                <w:b w:val="0"/>
                <w:color w:val="auto"/>
                <w:w w:val="100"/>
                <w:sz w:val="24"/>
                <w:szCs w:val="24"/>
                <w:shd w:val="clear"/>
                <w:lang w:val="en-US" w:eastAsia="zh-CN"/>
              </w:rPr>
              <w:t>⑩</w:t>
            </w:r>
            <w:r>
              <w:rPr>
                <w:rFonts w:hint="default" w:ascii="Times New Roman" w:hAnsi="Times New Roman" w:eastAsia="Times New Roman" w:cs="Times New Roman"/>
                <w:b w:val="0"/>
                <w:color w:val="auto"/>
                <w:w w:val="100"/>
                <w:sz w:val="24"/>
                <w:szCs w:val="24"/>
                <w:shd w:val="clear"/>
                <w:lang w:val="en-US" w:eastAsia="zh-CN"/>
              </w:rPr>
              <w:t>后处理：将生产好的产品再进行修</w:t>
            </w:r>
            <w:r>
              <w:rPr>
                <w:rFonts w:hint="default" w:ascii="Times New Roman" w:hAnsi="Times New Roman" w:eastAsia="宋体" w:cs="Times New Roman"/>
                <w:color w:val="auto"/>
                <w:spacing w:val="-6"/>
                <w:kern w:val="2"/>
                <w:sz w:val="24"/>
                <w:szCs w:val="24"/>
                <w:u w:val="none"/>
                <w:lang w:val="en-US" w:eastAsia="zh-CN" w:bidi="ar-SA"/>
              </w:rPr>
              <w:t>建处理，喷上护发素等，维护发制品的理顺和色泽，无废气产生。经过处理后的发条，包装成条状，送入成品库，待售。</w:t>
            </w:r>
          </w:p>
          <w:p>
            <w:pPr>
              <w:rPr>
                <w:rFonts w:hint="eastAsia" w:eastAsia="宋体"/>
                <w:lang w:eastAsia="zh-CN"/>
              </w:rPr>
            </w:pPr>
          </w:p>
          <w:p>
            <w:pPr>
              <w:pageBreakBefore w:val="0"/>
              <w:numPr>
                <w:ilvl w:val="0"/>
                <w:numId w:val="0"/>
              </w:numPr>
              <w:autoSpaceDE/>
              <w:autoSpaceDN/>
              <w:bidi w:val="0"/>
              <w:snapToGrid w:val="0"/>
              <w:spacing w:before="0" w:after="0" w:line="360" w:lineRule="auto"/>
              <w:ind w:right="0" w:rightChars="0"/>
              <w:jc w:val="both"/>
              <w:rPr>
                <w:rFonts w:hint="default" w:ascii="Times New Roman" w:hAnsi="宋体" w:eastAsia="宋体"/>
                <w:color w:val="000000"/>
                <w:position w:val="0"/>
                <w:sz w:val="24"/>
                <w:szCs w:val="24"/>
              </w:rPr>
            </w:pPr>
            <w:r>
              <w:rPr>
                <w:rFonts w:hint="eastAsia" w:ascii="Times New Roman" w:hAnsi="宋体" w:eastAsia="宋体"/>
                <w:color w:val="auto"/>
                <w:position w:val="0"/>
                <w:sz w:val="24"/>
                <w:szCs w:val="24"/>
                <w:lang w:val="en-US" w:eastAsia="zh-CN"/>
              </w:rPr>
              <w:t xml:space="preserve">    </w:t>
            </w:r>
          </w:p>
        </w:tc>
      </w:tr>
    </w:tbl>
    <w:p>
      <w:pPr>
        <w:pStyle w:val="40"/>
        <w:pageBreakBefore w:val="0"/>
        <w:numPr>
          <w:ilvl w:val="0"/>
          <w:numId w:val="0"/>
        </w:numPr>
        <w:autoSpaceDE w:val="0"/>
        <w:autoSpaceDN w:val="0"/>
        <w:bidi w:val="0"/>
        <w:snapToGrid/>
        <w:spacing w:before="0" w:after="160" w:line="240" w:lineRule="auto"/>
        <w:ind w:right="0" w:firstLine="0"/>
        <w:jc w:val="left"/>
        <w:outlineLvl w:val="0"/>
        <w:rPr>
          <w:rFonts w:hint="default" w:ascii="Times New Roman" w:hAnsi="Times New Roman" w:eastAsia="Times New Roman"/>
          <w:b/>
          <w:color w:val="auto"/>
          <w:position w:val="0"/>
          <w:sz w:val="24"/>
          <w:szCs w:val="24"/>
        </w:rPr>
      </w:pPr>
      <w:bookmarkStart w:id="11" w:name="_Toc27194"/>
    </w:p>
    <w:p>
      <w:pPr>
        <w:pStyle w:val="40"/>
        <w:pageBreakBefore w:val="0"/>
        <w:numPr>
          <w:ilvl w:val="0"/>
          <w:numId w:val="0"/>
        </w:numPr>
        <w:autoSpaceDE w:val="0"/>
        <w:autoSpaceDN w:val="0"/>
        <w:bidi w:val="0"/>
        <w:snapToGrid/>
        <w:spacing w:before="0" w:after="160" w:line="240" w:lineRule="auto"/>
        <w:ind w:right="0" w:firstLine="0"/>
        <w:jc w:val="left"/>
        <w:outlineLvl w:val="0"/>
        <w:rPr>
          <w:rFonts w:hint="default" w:ascii="Times New Roman" w:hAnsi="Times New Roman" w:eastAsia="Times New Roman"/>
          <w:b/>
          <w:color w:val="auto"/>
          <w:position w:val="0"/>
          <w:sz w:val="24"/>
          <w:szCs w:val="24"/>
        </w:rPr>
      </w:pPr>
      <w:r>
        <w:rPr>
          <w:rFonts w:hint="default" w:ascii="Times New Roman" w:hAnsi="Times New Roman" w:eastAsia="Times New Roman"/>
          <w:b/>
          <w:color w:val="auto"/>
          <w:position w:val="0"/>
          <w:sz w:val="24"/>
          <w:szCs w:val="24"/>
        </w:rPr>
        <w:t>表三</w:t>
      </w:r>
      <w:bookmarkEnd w:id="11"/>
    </w:p>
    <w:tbl>
      <w:tblPr>
        <w:tblStyle w:val="3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78" w:hRule="atLeast"/>
          <w:jc w:val="center"/>
        </w:trPr>
        <w:tc>
          <w:tcPr>
            <w:tcW w:w="8522" w:type="dxa"/>
            <w:vAlign w:val="top"/>
          </w:tcPr>
          <w:p>
            <w:pPr>
              <w:pageBreakBefore w:val="0"/>
              <w:numPr>
                <w:ilvl w:val="0"/>
                <w:numId w:val="0"/>
              </w:numPr>
              <w:autoSpaceDE/>
              <w:autoSpaceDN/>
              <w:bidi w:val="0"/>
              <w:snapToGrid/>
              <w:spacing w:before="0" w:after="0" w:line="360" w:lineRule="auto"/>
              <w:ind w:right="0" w:firstLine="0"/>
              <w:jc w:val="both"/>
              <w:outlineLvl w:val="0"/>
              <w:rPr>
                <w:rFonts w:hint="default" w:ascii="Times New Roman" w:hAnsi="Times New Roman" w:eastAsia="Times New Roman"/>
                <w:b/>
                <w:color w:val="auto"/>
                <w:position w:val="0"/>
                <w:sz w:val="24"/>
                <w:szCs w:val="24"/>
              </w:rPr>
            </w:pPr>
            <w:bookmarkStart w:id="12" w:name="_Toc10972"/>
            <w:r>
              <w:rPr>
                <w:rFonts w:hint="default" w:ascii="Times New Roman" w:hAnsi="Times New Roman" w:eastAsia="Times New Roman"/>
                <w:b/>
                <w:color w:val="auto"/>
                <w:position w:val="0"/>
                <w:sz w:val="24"/>
                <w:szCs w:val="24"/>
              </w:rPr>
              <w:t>主要污染源、污染物处理和排放</w:t>
            </w:r>
            <w:bookmarkEnd w:id="12"/>
          </w:p>
          <w:p>
            <w:pPr>
              <w:pageBreakBefore w:val="0"/>
              <w:numPr>
                <w:ilvl w:val="0"/>
                <w:numId w:val="0"/>
              </w:numPr>
              <w:autoSpaceDE/>
              <w:autoSpaceDN/>
              <w:bidi w:val="0"/>
              <w:snapToGrid/>
              <w:spacing w:before="0" w:after="0" w:line="360" w:lineRule="auto"/>
              <w:ind w:right="0" w:firstLine="482"/>
              <w:jc w:val="both"/>
              <w:rPr>
                <w:rFonts w:hint="default" w:ascii="Times New Roman" w:hAnsi="Times New Roman" w:eastAsia="Times New Roman"/>
                <w:b/>
                <w:color w:val="auto"/>
                <w:position w:val="0"/>
                <w:sz w:val="24"/>
                <w:szCs w:val="24"/>
              </w:rPr>
            </w:pPr>
            <w:r>
              <w:rPr>
                <w:rFonts w:hint="default" w:ascii="Times New Roman" w:hAnsi="Times New Roman" w:eastAsia="Times New Roman"/>
                <w:b/>
                <w:color w:val="auto"/>
                <w:position w:val="0"/>
                <w:sz w:val="24"/>
                <w:szCs w:val="24"/>
              </w:rPr>
              <w:t>一、主要污染工序</w:t>
            </w:r>
          </w:p>
          <w:p>
            <w:pPr>
              <w:numPr>
                <w:ilvl w:val="0"/>
                <w:numId w:val="0"/>
              </w:numPr>
              <w:autoSpaceDE/>
              <w:autoSpaceDN/>
              <w:snapToGrid w:val="0"/>
              <w:spacing w:before="0" w:after="0" w:line="360" w:lineRule="auto"/>
              <w:ind w:right="0" w:firstLine="482"/>
              <w:jc w:val="both"/>
              <w:rPr>
                <w:rFonts w:hint="default" w:ascii="Times New Roman" w:hAnsi="宋体" w:eastAsia="宋体"/>
                <w:b w:val="0"/>
                <w:color w:val="auto"/>
                <w:position w:val="0"/>
                <w:sz w:val="24"/>
                <w:szCs w:val="24"/>
              </w:rPr>
            </w:pPr>
            <w:r>
              <w:rPr>
                <w:rFonts w:hint="default" w:ascii="Times New Roman" w:hAnsi="宋体" w:eastAsia="宋体"/>
                <w:b/>
                <w:color w:val="auto"/>
                <w:position w:val="0"/>
                <w:sz w:val="24"/>
                <w:szCs w:val="24"/>
              </w:rPr>
              <w:t>1、废水</w:t>
            </w:r>
          </w:p>
          <w:p>
            <w:pPr>
              <w:numPr>
                <w:ilvl w:val="0"/>
                <w:numId w:val="0"/>
              </w:numPr>
              <w:autoSpaceDE/>
              <w:autoSpaceDN/>
              <w:snapToGrid w:val="0"/>
              <w:spacing w:before="0" w:after="0" w:line="360" w:lineRule="auto"/>
              <w:ind w:right="0" w:firstLine="482"/>
              <w:jc w:val="both"/>
              <w:rPr>
                <w:rFonts w:hint="eastAsia"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项目产生的废水主要为生产废水和生活废水。</w:t>
            </w:r>
            <w:r>
              <w:rPr>
                <w:rFonts w:hint="eastAsia" w:ascii="Times New Roman" w:hAnsi="宋体" w:eastAsia="宋体"/>
                <w:color w:val="auto"/>
                <w:position w:val="0"/>
                <w:sz w:val="24"/>
                <w:szCs w:val="24"/>
                <w:lang w:val="en-US" w:eastAsia="zh-CN"/>
              </w:rPr>
              <w:t>生活污水经化粪池处理后和产区污水管网收集后采用厂内预处理装置进行处理，然后在排入厂外市政污水管网，进入鄄城县第二人发产业园污水处理厂进行集中处理。</w:t>
            </w:r>
          </w:p>
          <w:p>
            <w:pPr>
              <w:numPr>
                <w:ilvl w:val="0"/>
                <w:numId w:val="0"/>
              </w:numPr>
              <w:autoSpaceDE/>
              <w:autoSpaceDN/>
              <w:snapToGrid w:val="0"/>
              <w:spacing w:before="0" w:after="0" w:line="360" w:lineRule="auto"/>
              <w:ind w:right="0" w:firstLine="482"/>
              <w:jc w:val="both"/>
              <w:rPr>
                <w:rFonts w:hint="eastAsia" w:ascii="Times New Roman" w:hAnsi="宋体" w:eastAsia="宋体"/>
                <w:b/>
                <w:color w:val="auto"/>
                <w:position w:val="0"/>
                <w:sz w:val="24"/>
                <w:szCs w:val="24"/>
                <w:lang w:eastAsia="zh-CN"/>
              </w:rPr>
            </w:pPr>
            <w:r>
              <w:rPr>
                <w:rFonts w:hint="eastAsia" w:ascii="Times New Roman" w:hAnsi="宋体" w:eastAsia="宋体"/>
                <w:color w:val="auto"/>
                <w:position w:val="0"/>
                <w:sz w:val="24"/>
                <w:szCs w:val="24"/>
                <w:lang w:val="en-US" w:eastAsia="zh-CN"/>
              </w:rPr>
              <w:t>2.废</w:t>
            </w:r>
            <w:r>
              <w:rPr>
                <w:rFonts w:hint="default" w:ascii="Times New Roman" w:hAnsi="宋体" w:eastAsia="宋体"/>
                <w:b/>
                <w:color w:val="auto"/>
                <w:position w:val="0"/>
                <w:sz w:val="24"/>
                <w:szCs w:val="24"/>
              </w:rPr>
              <w:t>气</w:t>
            </w:r>
          </w:p>
          <w:p>
            <w:pPr>
              <w:numPr>
                <w:ilvl w:val="0"/>
                <w:numId w:val="0"/>
              </w:numPr>
              <w:autoSpaceDE/>
              <w:autoSpaceDN/>
              <w:snapToGrid w:val="0"/>
              <w:spacing w:before="0" w:after="0" w:line="360" w:lineRule="auto"/>
              <w:ind w:right="0" w:firstLine="480"/>
              <w:jc w:val="both"/>
              <w:rPr>
                <w:rFonts w:hint="default" w:ascii="Times New Roman" w:hAnsi="Times New Roman" w:eastAsia="宋体"/>
                <w:b w:val="0"/>
                <w:color w:val="auto"/>
                <w:position w:val="0"/>
                <w:sz w:val="24"/>
                <w:szCs w:val="24"/>
                <w:lang w:val="en-US" w:eastAsia="zh-CN"/>
              </w:rPr>
            </w:pPr>
            <w:r>
              <w:rPr>
                <w:rFonts w:hint="eastAsia" w:ascii="Times New Roman" w:hAnsi="Times New Roman" w:eastAsia="宋体"/>
                <w:b w:val="0"/>
                <w:color w:val="auto"/>
                <w:position w:val="0"/>
                <w:sz w:val="24"/>
                <w:szCs w:val="24"/>
                <w:lang w:val="en-US" w:eastAsia="zh-CN"/>
              </w:rPr>
              <w:t>本项目废气主要为洗发车间配酸和酸洗浸泡时产生的酸性废气为硫酸废气G1，人发中和处理是产生的含氨废气G2，硫酸废气再水洗锅上方安装收集罩通过引风机引入稀氢氧化钠循环吸收装置收集、吸收处理，然后由15米排期筒达标排放，水洗锅上方安装收集罩，氨水挥发的氨气通过引风机引入稀酸吸收装置进行吸取，然后由15米高排气筒达标排放。本项目不设置食堂不产生油烟。</w:t>
            </w:r>
          </w:p>
          <w:p>
            <w:pPr>
              <w:numPr>
                <w:ilvl w:val="0"/>
                <w:numId w:val="0"/>
              </w:numPr>
              <w:autoSpaceDE/>
              <w:autoSpaceDN/>
              <w:snapToGrid w:val="0"/>
              <w:spacing w:before="0" w:after="0" w:line="360" w:lineRule="auto"/>
              <w:ind w:right="0" w:firstLine="482"/>
              <w:jc w:val="both"/>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3、噪声</w:t>
            </w:r>
          </w:p>
          <w:p>
            <w:pPr>
              <w:numPr>
                <w:ilvl w:val="0"/>
                <w:numId w:val="0"/>
              </w:numPr>
              <w:autoSpaceDE/>
              <w:autoSpaceDN/>
              <w:snapToGrid w:val="0"/>
              <w:spacing w:before="0" w:after="0" w:line="360" w:lineRule="auto"/>
              <w:ind w:right="0" w:firstLine="480"/>
              <w:jc w:val="both"/>
              <w:rPr>
                <w:rFonts w:hint="default" w:ascii="Times New Roman" w:hAnsi="宋体" w:eastAsia="宋体"/>
                <w:b w:val="0"/>
                <w:color w:val="auto"/>
                <w:position w:val="0"/>
                <w:sz w:val="24"/>
                <w:szCs w:val="24"/>
              </w:rPr>
            </w:pPr>
            <w:r>
              <w:rPr>
                <w:rFonts w:hint="default" w:ascii="Times New Roman" w:hAnsi="宋体" w:eastAsia="宋体"/>
                <w:b w:val="0"/>
                <w:color w:val="auto"/>
                <w:position w:val="0"/>
                <w:sz w:val="24"/>
                <w:szCs w:val="24"/>
              </w:rPr>
              <w:t>项目噪声主要为各类设备运转时的噪声，主要噪声设备有</w:t>
            </w:r>
            <w:r>
              <w:rPr>
                <w:rFonts w:hint="eastAsia" w:ascii="Times New Roman" w:hAnsi="宋体" w:eastAsia="宋体"/>
                <w:b w:val="0"/>
                <w:color w:val="auto"/>
                <w:position w:val="0"/>
                <w:sz w:val="24"/>
                <w:szCs w:val="24"/>
                <w:lang w:val="en-US" w:eastAsia="zh-CN"/>
              </w:rPr>
              <w:t>三联机、合片机、双针机、甩缸等设备运行过程中产生的机械</w:t>
            </w:r>
            <w:r>
              <w:rPr>
                <w:rFonts w:hint="default" w:ascii="Times New Roman" w:hAnsi="宋体" w:eastAsia="宋体"/>
                <w:b w:val="0"/>
                <w:color w:val="auto"/>
                <w:position w:val="0"/>
                <w:sz w:val="24"/>
                <w:szCs w:val="24"/>
              </w:rPr>
              <w:t>噪声级在70~90dB（A)。</w:t>
            </w:r>
          </w:p>
          <w:p>
            <w:pPr>
              <w:pageBreakBefore w:val="0"/>
              <w:numPr>
                <w:ilvl w:val="0"/>
                <w:numId w:val="0"/>
              </w:numPr>
              <w:autoSpaceDE/>
              <w:autoSpaceDN/>
              <w:bidi w:val="0"/>
              <w:snapToGrid w:val="0"/>
              <w:spacing w:before="0" w:after="0" w:line="360" w:lineRule="auto"/>
              <w:ind w:right="0" w:firstLine="482"/>
              <w:jc w:val="both"/>
              <w:rPr>
                <w:rFonts w:hint="default" w:ascii="Times New Roman" w:hAnsi="Times New Roman" w:eastAsia="Times New Roman"/>
                <w:b/>
                <w:color w:val="auto"/>
                <w:position w:val="0"/>
                <w:sz w:val="24"/>
                <w:szCs w:val="24"/>
              </w:rPr>
            </w:pPr>
            <w:r>
              <w:rPr>
                <w:rFonts w:hint="default" w:ascii="Times New Roman" w:hAnsi="Times New Roman" w:eastAsia="Times New Roman"/>
                <w:b/>
                <w:color w:val="auto"/>
                <w:position w:val="0"/>
                <w:sz w:val="24"/>
                <w:szCs w:val="24"/>
              </w:rPr>
              <w:t>4、固废</w:t>
            </w:r>
          </w:p>
          <w:p>
            <w:pPr>
              <w:numPr>
                <w:ilvl w:val="0"/>
                <w:numId w:val="0"/>
              </w:numPr>
              <w:autoSpaceDE/>
              <w:autoSpaceDN/>
              <w:snapToGrid w:val="0"/>
              <w:spacing w:before="0" w:after="0" w:line="360" w:lineRule="auto"/>
              <w:ind w:right="0" w:firstLine="480"/>
              <w:jc w:val="both"/>
              <w:rPr>
                <w:rFonts w:hint="default" w:ascii="Times New Roman" w:hAnsi="宋体" w:eastAsia="宋体"/>
                <w:b w:val="0"/>
                <w:color w:val="auto"/>
                <w:position w:val="0"/>
                <w:sz w:val="24"/>
                <w:szCs w:val="24"/>
                <w:lang w:val="en-US" w:eastAsia="zh-CN"/>
              </w:rPr>
            </w:pPr>
            <w:r>
              <w:rPr>
                <w:rFonts w:hint="default" w:ascii="Times New Roman" w:hAnsi="宋体" w:eastAsia="宋体"/>
                <w:b w:val="0"/>
                <w:color w:val="auto"/>
                <w:position w:val="0"/>
                <w:sz w:val="24"/>
                <w:szCs w:val="24"/>
              </w:rPr>
              <w:t>本项目固体废物为生产过程</w:t>
            </w:r>
            <w:r>
              <w:rPr>
                <w:rFonts w:hint="eastAsia" w:ascii="Times New Roman" w:hAnsi="宋体" w:eastAsia="宋体"/>
                <w:b w:val="0"/>
                <w:color w:val="auto"/>
                <w:position w:val="0"/>
                <w:sz w:val="24"/>
                <w:szCs w:val="24"/>
                <w:lang w:val="en-US" w:eastAsia="zh-CN"/>
              </w:rPr>
              <w:t>产生的下脚料。等离子交换装置换下来的废离子交换树脂，废离子交换树脂每三年一换，属于危废，需要交由相应危险废物处置资质的单位进行处理。本项目污水预处理装置产生的干污泥交环卫部门外运填埋处理。</w:t>
            </w:r>
          </w:p>
          <w:p>
            <w:pPr>
              <w:pageBreakBefore w:val="0"/>
              <w:numPr>
                <w:ilvl w:val="0"/>
                <w:numId w:val="0"/>
              </w:numPr>
              <w:autoSpaceDE/>
              <w:autoSpaceDN/>
              <w:bidi w:val="0"/>
              <w:snapToGrid/>
              <w:spacing w:before="0" w:after="0" w:line="360" w:lineRule="auto"/>
              <w:ind w:right="0" w:firstLine="482"/>
              <w:jc w:val="both"/>
              <w:rPr>
                <w:rFonts w:hint="default" w:ascii="Times New Roman" w:hAnsi="Times New Roman" w:eastAsia="Times New Roman"/>
                <w:b/>
                <w:i w:val="0"/>
                <w:color w:val="auto"/>
                <w:position w:val="0"/>
                <w:sz w:val="24"/>
                <w:szCs w:val="24"/>
              </w:rPr>
            </w:pPr>
            <w:r>
              <w:rPr>
                <w:rFonts w:hint="default" w:ascii="Times New Roman" w:hAnsi="Times New Roman" w:eastAsia="Times New Roman"/>
                <w:b/>
                <w:i w:val="0"/>
                <w:color w:val="auto"/>
                <w:position w:val="0"/>
                <w:sz w:val="24"/>
                <w:szCs w:val="24"/>
              </w:rPr>
              <w:t>5、污染物处理及排放</w:t>
            </w:r>
          </w:p>
          <w:p>
            <w:pPr>
              <w:pStyle w:val="21"/>
              <w:pageBreakBefore w:val="0"/>
              <w:numPr>
                <w:ilvl w:val="0"/>
                <w:numId w:val="0"/>
              </w:numPr>
              <w:autoSpaceDE/>
              <w:autoSpaceDN/>
              <w:bidi w:val="0"/>
              <w:snapToGrid/>
              <w:spacing w:before="0" w:after="0" w:line="360" w:lineRule="auto"/>
              <w:ind w:right="0" w:firstLine="0"/>
              <w:jc w:val="left"/>
              <w:rPr>
                <w:rFonts w:hint="default" w:ascii="Times New Roman" w:hAnsi="Times New Roman" w:eastAsia="Times New Roman"/>
                <w:b w:val="0"/>
                <w:color w:val="auto"/>
                <w:position w:val="0"/>
                <w:sz w:val="24"/>
                <w:szCs w:val="24"/>
              </w:rPr>
            </w:pPr>
            <w:r>
              <w:rPr>
                <w:rFonts w:hint="default" w:ascii="Times New Roman" w:hAnsi="Times New Roman" w:eastAsia="Times New Roman"/>
                <w:color w:val="auto"/>
                <w:position w:val="0"/>
                <w:sz w:val="24"/>
                <w:szCs w:val="24"/>
              </w:rPr>
              <w:t>本项目污染物均妥善处理，污染物具体处理措施、排放去向及相关投资见表3-2，如下：</w:t>
            </w:r>
          </w:p>
          <w:p>
            <w:pPr>
              <w:pStyle w:val="21"/>
              <w:pageBreakBefore w:val="0"/>
              <w:numPr>
                <w:ilvl w:val="0"/>
                <w:numId w:val="0"/>
              </w:numPr>
              <w:autoSpaceDE/>
              <w:autoSpaceDN/>
              <w:bidi w:val="0"/>
              <w:snapToGrid/>
              <w:spacing w:before="0" w:after="0" w:line="360" w:lineRule="auto"/>
              <w:ind w:right="0" w:firstLine="0"/>
              <w:jc w:val="center"/>
              <w:rPr>
                <w:rFonts w:hint="default" w:ascii="Times New Roman" w:hAnsi="Times New Roman" w:eastAsia="Times New Roman"/>
                <w:b/>
                <w:color w:val="auto"/>
                <w:position w:val="0"/>
                <w:sz w:val="24"/>
                <w:szCs w:val="24"/>
              </w:rPr>
            </w:pPr>
            <w:r>
              <w:rPr>
                <w:rFonts w:hint="default" w:ascii="Times New Roman" w:hAnsi="Times New Roman" w:eastAsia="Times New Roman"/>
                <w:b w:val="0"/>
                <w:color w:val="auto"/>
                <w:position w:val="0"/>
                <w:sz w:val="24"/>
                <w:szCs w:val="24"/>
              </w:rPr>
              <w:t>表3-2环保设施投资分项表</w:t>
            </w:r>
          </w:p>
          <w:tbl>
            <w:tblPr>
              <w:tblStyle w:val="33"/>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73"/>
              <w:gridCol w:w="1010"/>
              <w:gridCol w:w="1708"/>
              <w:gridCol w:w="2351"/>
              <w:gridCol w:w="1468"/>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33" w:hRule="atLeast"/>
                <w:jc w:val="center"/>
              </w:trPr>
              <w:tc>
                <w:tcPr>
                  <w:tcW w:w="673" w:type="dxa"/>
                  <w:tcBorders>
                    <w:tl2br w:val="single" w:color="auto" w:sz="4" w:space="0"/>
                  </w:tcBorders>
                  <w:vAlign w:val="center"/>
                </w:tcPr>
                <w:p>
                  <w:pPr>
                    <w:pageBreakBefore w:val="0"/>
                    <w:numPr>
                      <w:ilvl w:val="0"/>
                      <w:numId w:val="0"/>
                    </w:numPr>
                    <w:autoSpaceDE/>
                    <w:autoSpaceDN/>
                    <w:bidi w:val="0"/>
                    <w:snapToGrid/>
                    <w:spacing w:before="0" w:after="0" w:line="240" w:lineRule="auto"/>
                    <w:ind w:right="0" w:firstLine="0"/>
                    <w:jc w:val="right"/>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 xml:space="preserve">   内容</w:t>
                  </w:r>
                </w:p>
                <w:p>
                  <w:pPr>
                    <w:pageBreakBefore w:val="0"/>
                    <w:numPr>
                      <w:ilvl w:val="0"/>
                      <w:numId w:val="0"/>
                    </w:numPr>
                    <w:autoSpaceDE/>
                    <w:autoSpaceDN/>
                    <w:bidi w:val="0"/>
                    <w:snapToGrid/>
                    <w:spacing w:before="0" w:after="0" w:line="240" w:lineRule="auto"/>
                    <w:ind w:right="0" w:firstLine="0"/>
                    <w:jc w:val="left"/>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类型</w:t>
                  </w:r>
                </w:p>
              </w:tc>
              <w:tc>
                <w:tcPr>
                  <w:tcW w:w="1010"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排放源</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（编号）</w:t>
                  </w:r>
                </w:p>
              </w:tc>
              <w:tc>
                <w:tcPr>
                  <w:tcW w:w="1708"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污染物</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名称</w:t>
                  </w:r>
                </w:p>
              </w:tc>
              <w:tc>
                <w:tcPr>
                  <w:tcW w:w="2351"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治理方案</w:t>
                  </w:r>
                </w:p>
              </w:tc>
              <w:tc>
                <w:tcPr>
                  <w:tcW w:w="1468"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排放去向</w:t>
                  </w:r>
                </w:p>
              </w:tc>
              <w:tc>
                <w:tcPr>
                  <w:tcW w:w="1086"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color w:val="auto"/>
                      <w:position w:val="0"/>
                      <w:sz w:val="21"/>
                      <w:szCs w:val="21"/>
                    </w:rPr>
                  </w:pPr>
                  <w:r>
                    <w:rPr>
                      <w:rFonts w:hint="default" w:ascii="Times New Roman" w:hAnsi="Times New Roman" w:eastAsia="Times New Roman"/>
                      <w:color w:val="auto"/>
                      <w:position w:val="0"/>
                      <w:sz w:val="21"/>
                      <w:szCs w:val="21"/>
                    </w:rPr>
                    <w:t>环保投资</w:t>
                  </w:r>
                </w:p>
                <w:p>
                  <w:pPr>
                    <w:pStyle w:val="2"/>
                    <w:pageBreakBefore w:val="0"/>
                    <w:numPr>
                      <w:ilvl w:val="0"/>
                      <w:numId w:val="0"/>
                    </w:numPr>
                    <w:autoSpaceDE/>
                    <w:autoSpaceDN/>
                    <w:bidi w:val="0"/>
                    <w:snapToGrid w:val="0"/>
                    <w:spacing w:before="0" w:after="120" w:line="240" w:lineRule="auto"/>
                    <w:ind w:right="0" w:firstLine="0"/>
                    <w:jc w:val="both"/>
                    <w:rPr>
                      <w:rFonts w:hint="default" w:ascii="Times New Roman" w:hAnsi="Times New Roman" w:eastAsia="Times New Roman"/>
                      <w:b/>
                      <w:color w:val="auto"/>
                      <w:position w:val="0"/>
                      <w:sz w:val="21"/>
                      <w:szCs w:val="21"/>
                    </w:rPr>
                  </w:pPr>
                  <w:r>
                    <w:rPr>
                      <w:rFonts w:hint="default" w:ascii="Times New Roman" w:hAnsi="Times New Roman" w:eastAsia="Times New Roman"/>
                      <w:b w:val="0"/>
                      <w:color w:val="auto"/>
                      <w:position w:val="0"/>
                      <w:sz w:val="21"/>
                      <w:szCs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97" w:hRule="atLeast"/>
                <w:jc w:val="center"/>
              </w:trPr>
              <w:tc>
                <w:tcPr>
                  <w:tcW w:w="673" w:type="dxa"/>
                  <w:vMerge w:val="restart"/>
                  <w:vAlign w:val="center"/>
                </w:tcPr>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大</w:t>
                  </w:r>
                </w:p>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气</w:t>
                  </w:r>
                </w:p>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污</w:t>
                  </w:r>
                </w:p>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染</w:t>
                  </w:r>
                </w:p>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物</w:t>
                  </w:r>
                </w:p>
              </w:tc>
              <w:tc>
                <w:tcPr>
                  <w:tcW w:w="1010" w:type="dxa"/>
                  <w:vMerge w:val="restart"/>
                  <w:vAlign w:val="center"/>
                </w:tcPr>
                <w:p>
                  <w:pPr>
                    <w:pageBreakBefore w:val="0"/>
                    <w:numPr>
                      <w:ilvl w:val="0"/>
                      <w:numId w:val="0"/>
                    </w:numPr>
                    <w:autoSpaceDE/>
                    <w:autoSpaceDN/>
                    <w:bidi w:val="0"/>
                    <w:snapToGrid w:val="0"/>
                    <w:spacing w:before="0" w:after="200" w:line="240" w:lineRule="auto"/>
                    <w:ind w:right="0" w:firstLine="0"/>
                    <w:jc w:val="both"/>
                    <w:rPr>
                      <w:rFonts w:hint="default"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洗发工段</w:t>
                  </w:r>
                </w:p>
              </w:tc>
              <w:tc>
                <w:tcPr>
                  <w:tcW w:w="1708" w:type="dxa"/>
                  <w:vAlign w:val="center"/>
                </w:tcPr>
                <w:p>
                  <w:pPr>
                    <w:pageBreakBefore w:val="0"/>
                    <w:numPr>
                      <w:ilvl w:val="0"/>
                      <w:numId w:val="0"/>
                    </w:numPr>
                    <w:autoSpaceDE/>
                    <w:autoSpaceDN/>
                    <w:bidi w:val="0"/>
                    <w:snapToGrid w:val="0"/>
                    <w:spacing w:before="0" w:after="0" w:line="240" w:lineRule="auto"/>
                    <w:ind w:right="0" w:firstLine="0"/>
                    <w:jc w:val="center"/>
                    <w:rPr>
                      <w:rFonts w:hint="eastAsia" w:ascii="Times New Roman" w:hAnsi="Times New Roman" w:eastAsia="宋体"/>
                      <w:b w:val="0"/>
                      <w:color w:val="auto"/>
                      <w:position w:val="0"/>
                      <w:sz w:val="21"/>
                      <w:szCs w:val="21"/>
                      <w:lang w:eastAsia="zh-CN"/>
                    </w:rPr>
                  </w:pPr>
                  <w:r>
                    <w:rPr>
                      <w:rFonts w:hint="eastAsia" w:ascii="Times New Roman" w:hAnsi="Times New Roman" w:eastAsia="宋体"/>
                      <w:b w:val="0"/>
                      <w:color w:val="auto"/>
                      <w:position w:val="0"/>
                      <w:sz w:val="21"/>
                      <w:szCs w:val="21"/>
                      <w:lang w:val="en-US" w:eastAsia="zh-CN"/>
                    </w:rPr>
                    <w:t>硫酸雾</w:t>
                  </w:r>
                </w:p>
              </w:tc>
              <w:tc>
                <w:tcPr>
                  <w:tcW w:w="2351" w:type="dxa"/>
                  <w:tcBorders>
                    <w:bottom w:val="single" w:color="auto" w:sz="4" w:space="0"/>
                  </w:tcBorders>
                  <w:vAlign w:val="center"/>
                </w:tcPr>
                <w:p>
                  <w:pPr>
                    <w:pageBreakBefore w:val="0"/>
                    <w:numPr>
                      <w:ilvl w:val="0"/>
                      <w:numId w:val="0"/>
                    </w:numPr>
                    <w:autoSpaceDE/>
                    <w:autoSpaceDN/>
                    <w:bidi w:val="0"/>
                    <w:snapToGrid w:val="0"/>
                    <w:spacing w:before="0" w:after="0" w:line="240" w:lineRule="auto"/>
                    <w:ind w:right="0" w:firstLine="0"/>
                    <w:jc w:val="both"/>
                    <w:rPr>
                      <w:rFonts w:hint="default"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密闭间集气罩收集+碱液喷淋塔+15m排气筒</w:t>
                  </w:r>
                </w:p>
              </w:tc>
              <w:tc>
                <w:tcPr>
                  <w:tcW w:w="1468" w:type="dxa"/>
                  <w:vMerge w:val="restart"/>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有组织排放</w:t>
                  </w:r>
                </w:p>
              </w:tc>
              <w:tc>
                <w:tcPr>
                  <w:tcW w:w="1086" w:type="dxa"/>
                  <w:vMerge w:val="restart"/>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宋体"/>
                      <w:b w:val="0"/>
                      <w:color w:val="FF0000"/>
                      <w:position w:val="0"/>
                      <w:sz w:val="21"/>
                      <w:szCs w:val="21"/>
                      <w:lang w:val="en-US" w:eastAsia="zh-CN"/>
                    </w:rPr>
                  </w:pPr>
                  <w:r>
                    <w:rPr>
                      <w:rFonts w:hint="eastAsia" w:ascii="Times New Roman" w:hAnsi="Times New Roman" w:eastAsia="宋体"/>
                      <w:b w:val="0"/>
                      <w:color w:val="FF0000"/>
                      <w:position w:val="0"/>
                      <w:sz w:val="21"/>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98" w:hRule="atLeast"/>
                <w:jc w:val="center"/>
              </w:trPr>
              <w:tc>
                <w:tcPr>
                  <w:tcW w:w="673" w:type="dxa"/>
                  <w:vMerge w:val="continue"/>
                  <w:vAlign w:val="center"/>
                </w:tcPr>
                <w:p/>
              </w:tc>
              <w:tc>
                <w:tcPr>
                  <w:tcW w:w="1010" w:type="dxa"/>
                  <w:vMerge w:val="continue"/>
                  <w:vAlign w:val="center"/>
                </w:tcPr>
                <w:p/>
              </w:tc>
              <w:tc>
                <w:tcPr>
                  <w:tcW w:w="1708" w:type="dxa"/>
                  <w:vAlign w:val="center"/>
                </w:tcPr>
                <w:p>
                  <w:pPr>
                    <w:pageBreakBefore w:val="0"/>
                    <w:numPr>
                      <w:ilvl w:val="0"/>
                      <w:numId w:val="0"/>
                    </w:numPr>
                    <w:autoSpaceDE/>
                    <w:autoSpaceDN/>
                    <w:bidi w:val="0"/>
                    <w:snapToGrid w:val="0"/>
                    <w:spacing w:before="0" w:after="0" w:line="240" w:lineRule="auto"/>
                    <w:ind w:right="0" w:firstLine="0"/>
                    <w:jc w:val="center"/>
                    <w:rPr>
                      <w:rFonts w:hint="default"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 xml:space="preserve"> 氨</w:t>
                  </w:r>
                </w:p>
              </w:tc>
              <w:tc>
                <w:tcPr>
                  <w:tcW w:w="2351" w:type="dxa"/>
                  <w:tcBorders>
                    <w:top w:val="single" w:color="auto" w:sz="4" w:space="0"/>
                  </w:tcBorders>
                  <w:vAlign w:val="center"/>
                </w:tcPr>
                <w:p>
                  <w:pPr>
                    <w:rPr>
                      <w:color w:val="000000" w:themeColor="text1"/>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密闭间集气罩收集+稀硫酸溶液喷淋塔+15m排气筒</w:t>
                  </w:r>
                </w:p>
              </w:tc>
              <w:tc>
                <w:tcPr>
                  <w:tcW w:w="1468" w:type="dxa"/>
                  <w:vMerge w:val="continue"/>
                  <w:vAlign w:val="center"/>
                </w:tcPr>
                <w:p>
                  <w:pPr>
                    <w:rPr>
                      <w:color w:val="000000" w:themeColor="text1"/>
                      <w14:textFill>
                        <w14:solidFill>
                          <w14:schemeClr w14:val="tx1"/>
                        </w14:solidFill>
                      </w14:textFill>
                    </w:rPr>
                  </w:pPr>
                </w:p>
              </w:tc>
              <w:tc>
                <w:tcPr>
                  <w:tcW w:w="1086" w:type="dxa"/>
                  <w:vMerge w:val="continue"/>
                  <w:vAlign w:val="center"/>
                </w:tcPr>
                <w:p>
                  <w:pP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12" w:hRule="atLeast"/>
                <w:jc w:val="center"/>
              </w:trPr>
              <w:tc>
                <w:tcPr>
                  <w:tcW w:w="673"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水</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污</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染</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物</w:t>
                  </w:r>
                </w:p>
              </w:tc>
              <w:tc>
                <w:tcPr>
                  <w:tcW w:w="1010"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eastAsia" w:ascii="Times New Roman" w:hAnsi="Times New Roman" w:eastAsia="宋体"/>
                      <w:b w:val="0"/>
                      <w:color w:val="auto"/>
                      <w:position w:val="0"/>
                      <w:sz w:val="21"/>
                      <w:szCs w:val="21"/>
                      <w:lang w:val="en-US" w:eastAsia="zh-CN"/>
                    </w:rPr>
                    <w:t>综合</w:t>
                  </w:r>
                  <w:r>
                    <w:rPr>
                      <w:rFonts w:hint="default" w:ascii="Times New Roman" w:hAnsi="Times New Roman" w:eastAsia="Times New Roman"/>
                      <w:b w:val="0"/>
                      <w:color w:val="auto"/>
                      <w:position w:val="0"/>
                      <w:sz w:val="21"/>
                      <w:szCs w:val="21"/>
                    </w:rPr>
                    <w:t>废水</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p>
              </w:tc>
              <w:tc>
                <w:tcPr>
                  <w:tcW w:w="1708" w:type="dxa"/>
                  <w:vAlign w:val="center"/>
                </w:tcPr>
                <w:p>
                  <w:pPr>
                    <w:pageBreakBefore w:val="0"/>
                    <w:numPr>
                      <w:ilvl w:val="0"/>
                      <w:numId w:val="0"/>
                    </w:numPr>
                    <w:autoSpaceDE/>
                    <w:autoSpaceDN/>
                    <w:bidi w:val="0"/>
                    <w:snapToGrid w:val="0"/>
                    <w:spacing w:before="0" w:after="200" w:line="240" w:lineRule="auto"/>
                    <w:ind w:right="0" w:firstLine="0"/>
                    <w:jc w:val="both"/>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 xml:space="preserve">   OD</w:t>
                  </w:r>
                  <w:r>
                    <w:rPr>
                      <w:rFonts w:hint="default" w:ascii="Times New Roman" w:hAnsi="Times New Roman" w:eastAsia="Times New Roman"/>
                      <w:b w:val="0"/>
                      <w:color w:val="auto"/>
                      <w:position w:val="0"/>
                      <w:sz w:val="21"/>
                      <w:szCs w:val="21"/>
                      <w:vertAlign w:val="subscript"/>
                    </w:rPr>
                    <w:t>Cr</w:t>
                  </w:r>
                  <w:r>
                    <w:rPr>
                      <w:rFonts w:hint="default" w:ascii="Times New Roman" w:hAnsi="Times New Roman" w:eastAsia="Times New Roman"/>
                      <w:b w:val="0"/>
                      <w:color w:val="auto"/>
                      <w:position w:val="0"/>
                      <w:sz w:val="21"/>
                      <w:szCs w:val="21"/>
                    </w:rPr>
                    <w:t>、氨氮、BOD5、SS</w:t>
                  </w:r>
                </w:p>
              </w:tc>
              <w:tc>
                <w:tcPr>
                  <w:tcW w:w="2351"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000000" w:themeColor="text1"/>
                      <w:position w:val="0"/>
                      <w:sz w:val="21"/>
                      <w:szCs w:val="21"/>
                      <w14:textFill>
                        <w14:solidFill>
                          <w14:schemeClr w14:val="tx1"/>
                        </w14:solidFill>
                      </w14:textFill>
                    </w:rPr>
                  </w:pPr>
                  <w:r>
                    <w:rPr>
                      <w:rFonts w:hint="eastAsia" w:ascii="Times New Roman" w:hAnsi="Times New Roman" w:eastAsia="宋体" w:cs="宋体"/>
                      <w:b w:val="0"/>
                      <w:color w:val="000000" w:themeColor="text1"/>
                      <w:position w:val="0"/>
                      <w:sz w:val="21"/>
                      <w:szCs w:val="21"/>
                      <w:lang w:val="en-US" w:eastAsia="zh-CN"/>
                      <w14:textFill>
                        <w14:solidFill>
                          <w14:schemeClr w14:val="tx1"/>
                        </w14:solidFill>
                      </w14:textFill>
                    </w:rPr>
                    <w:t>生活污水经化粪池处理后和产区污水管网收集后采用厂内预处理装置进行处理，然后在排入厂外市政污水管网，进入鄄城县第二人发产业园污水处理厂进行集中处理</w:t>
                  </w:r>
                </w:p>
              </w:tc>
              <w:tc>
                <w:tcPr>
                  <w:tcW w:w="1468"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000000" w:themeColor="text1"/>
                      <w:position w:val="0"/>
                      <w:sz w:val="21"/>
                      <w:szCs w:val="21"/>
                      <w14:textFill>
                        <w14:solidFill>
                          <w14:schemeClr w14:val="tx1"/>
                        </w14:solidFill>
                      </w14:textFill>
                    </w:rPr>
                  </w:pPr>
                  <w:r>
                    <w:rPr>
                      <w:rFonts w:hint="eastAsia" w:ascii="Times New Roman" w:hAnsi="Times New Roman" w:eastAsia="宋体" w:cs="宋体"/>
                      <w:b w:val="0"/>
                      <w:color w:val="000000" w:themeColor="text1"/>
                      <w:position w:val="0"/>
                      <w:sz w:val="21"/>
                      <w:szCs w:val="21"/>
                      <w:lang w:val="en-US" w:eastAsia="zh-CN"/>
                      <w14:textFill>
                        <w14:solidFill>
                          <w14:schemeClr w14:val="tx1"/>
                        </w14:solidFill>
                      </w14:textFill>
                    </w:rPr>
                    <w:t>进入鄄城县第二人发产业园污水处理厂进行集中处理</w:t>
                  </w:r>
                </w:p>
              </w:tc>
              <w:tc>
                <w:tcPr>
                  <w:tcW w:w="1086"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宋体"/>
                      <w:b w:val="0"/>
                      <w:color w:val="000000" w:themeColor="text1"/>
                      <w:position w:val="0"/>
                      <w:sz w:val="21"/>
                      <w:szCs w:val="21"/>
                      <w:lang w:val="en-US" w:eastAsia="zh-CN"/>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215" w:hRule="atLeast"/>
                <w:jc w:val="center"/>
              </w:trPr>
              <w:tc>
                <w:tcPr>
                  <w:tcW w:w="673" w:type="dxa"/>
                  <w:vMerge w:val="restart"/>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固</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体</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废</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物</w:t>
                  </w:r>
                </w:p>
              </w:tc>
              <w:tc>
                <w:tcPr>
                  <w:tcW w:w="1010" w:type="dxa"/>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生活区</w:t>
                  </w:r>
                </w:p>
              </w:tc>
              <w:tc>
                <w:tcPr>
                  <w:tcW w:w="1708" w:type="dxa"/>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生活垃圾</w:t>
                  </w:r>
                </w:p>
              </w:tc>
              <w:tc>
                <w:tcPr>
                  <w:tcW w:w="2351" w:type="dxa"/>
                  <w:vAlign w:val="center"/>
                </w:tcPr>
                <w:p>
                  <w:pPr>
                    <w:pageBreakBefore w:val="0"/>
                    <w:numPr>
                      <w:ilvl w:val="0"/>
                      <w:numId w:val="0"/>
                    </w:numPr>
                    <w:autoSpaceDE/>
                    <w:autoSpaceDN/>
                    <w:bidi w:val="0"/>
                    <w:snapToGrid/>
                    <w:spacing w:before="0" w:after="200" w:line="240" w:lineRule="auto"/>
                    <w:ind w:right="0" w:firstLine="0"/>
                    <w:jc w:val="cente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pPr>
                  <w:r>
                    <w:rPr>
                      <w:rFonts w:hint="default" w:ascii="Times New Roman" w:hAnsi="Times New Roman" w:eastAsia="Times New Roman"/>
                      <w:b w:val="0"/>
                      <w:color w:val="000000" w:themeColor="text1"/>
                      <w:position w:val="0"/>
                      <w:sz w:val="21"/>
                      <w:szCs w:val="21"/>
                      <w14:textFill>
                        <w14:solidFill>
                          <w14:schemeClr w14:val="tx1"/>
                        </w14:solidFill>
                      </w14:textFill>
                    </w:rPr>
                    <w:t xml:space="preserve">  </w:t>
                  </w:r>
                  <w: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t xml:space="preserve">    </w:t>
                  </w:r>
                </w:p>
                <w:p>
                  <w:pPr>
                    <w:pageBreakBefore w:val="0"/>
                    <w:numPr>
                      <w:ilvl w:val="0"/>
                      <w:numId w:val="0"/>
                    </w:numPr>
                    <w:autoSpaceDE/>
                    <w:autoSpaceDN/>
                    <w:bidi w:val="0"/>
                    <w:snapToGrid/>
                    <w:spacing w:before="0" w:after="200" w:line="240" w:lineRule="auto"/>
                    <w:ind w:right="0" w:firstLine="0"/>
                    <w:jc w:val="cente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pPr>
                  <w: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t xml:space="preserve">       </w:t>
                  </w:r>
                </w:p>
                <w:p>
                  <w:pPr>
                    <w:pageBreakBefore w:val="0"/>
                    <w:numPr>
                      <w:ilvl w:val="0"/>
                      <w:numId w:val="0"/>
                    </w:numPr>
                    <w:autoSpaceDE/>
                    <w:autoSpaceDN/>
                    <w:bidi w:val="0"/>
                    <w:snapToGrid/>
                    <w:spacing w:before="0" w:after="200" w:line="240" w:lineRule="auto"/>
                    <w:ind w:right="0" w:firstLine="0"/>
                    <w:jc w:val="cente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pPr>
                  <w: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t>垃圾桶</w:t>
                  </w:r>
                </w:p>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pPr>
                </w:p>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pPr>
                </w:p>
              </w:tc>
              <w:tc>
                <w:tcPr>
                  <w:tcW w:w="1468" w:type="dxa"/>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color w:val="000000" w:themeColor="text1"/>
                      <w:position w:val="0"/>
                      <w:sz w:val="21"/>
                      <w:szCs w:val="21"/>
                      <w14:textFill>
                        <w14:solidFill>
                          <w14:schemeClr w14:val="tx1"/>
                        </w14:solidFill>
                      </w14:textFill>
                    </w:rPr>
                  </w:pPr>
                  <w:r>
                    <w:rPr>
                      <w:rFonts w:hint="default" w:ascii="Times New Roman" w:hAnsi="Times New Roman" w:eastAsia="Times New Roman"/>
                      <w:b w:val="0"/>
                      <w:color w:val="000000" w:themeColor="text1"/>
                      <w:position w:val="0"/>
                      <w:sz w:val="21"/>
                      <w:szCs w:val="21"/>
                      <w14:textFill>
                        <w14:solidFill>
                          <w14:schemeClr w14:val="tx1"/>
                        </w14:solidFill>
                      </w14:textFill>
                    </w:rPr>
                    <w:t>由环卫部门统一清运</w:t>
                  </w:r>
                </w:p>
              </w:tc>
              <w:tc>
                <w:tcPr>
                  <w:tcW w:w="1086" w:type="dxa"/>
                  <w:vMerge w:val="restart"/>
                  <w:vAlign w:val="center"/>
                </w:tcPr>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宋体"/>
                      <w:b w:val="0"/>
                      <w:color w:val="000000" w:themeColor="text1"/>
                      <w:position w:val="0"/>
                      <w:sz w:val="21"/>
                      <w:szCs w:val="21"/>
                      <w:lang w:val="en-US" w:eastAsia="zh-CN"/>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46" w:hRule="atLeast"/>
                <w:jc w:val="center"/>
              </w:trPr>
              <w:tc>
                <w:tcPr>
                  <w:tcW w:w="673" w:type="dxa"/>
                  <w:vMerge w:val="continue"/>
                  <w:vAlign w:val="center"/>
                </w:tcPr>
                <w:p/>
              </w:tc>
              <w:tc>
                <w:tcPr>
                  <w:tcW w:w="1010" w:type="dxa"/>
                  <w:vMerge w:val="restart"/>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生产车间</w:t>
                  </w:r>
                </w:p>
              </w:tc>
              <w:tc>
                <w:tcPr>
                  <w:tcW w:w="1708" w:type="dxa"/>
                  <w:vAlign w:val="center"/>
                </w:tcPr>
                <w:p>
                  <w:pPr>
                    <w:pageBreakBefore w:val="0"/>
                    <w:numPr>
                      <w:ilvl w:val="0"/>
                      <w:numId w:val="0"/>
                    </w:numPr>
                    <w:autoSpaceDE/>
                    <w:autoSpaceDN/>
                    <w:bidi w:val="0"/>
                    <w:snapToGrid w:val="0"/>
                    <w:spacing w:before="0" w:after="200" w:line="240" w:lineRule="auto"/>
                    <w:ind w:right="0" w:firstLine="0"/>
                    <w:jc w:val="center"/>
                    <w:rPr>
                      <w:rFonts w:hint="eastAsia" w:ascii="Times New Roman" w:hAnsi="Times New Roman" w:eastAsia="宋体"/>
                      <w:b w:val="0"/>
                      <w:color w:val="auto"/>
                      <w:position w:val="0"/>
                      <w:sz w:val="21"/>
                      <w:szCs w:val="21"/>
                      <w:lang w:eastAsia="zh-CN"/>
                    </w:rPr>
                  </w:pPr>
                  <w:r>
                    <w:rPr>
                      <w:rFonts w:hint="eastAsia" w:ascii="Times New Roman" w:hAnsi="Times New Roman" w:eastAsia="宋体"/>
                      <w:b w:val="0"/>
                      <w:color w:val="auto"/>
                      <w:position w:val="0"/>
                      <w:sz w:val="21"/>
                      <w:szCs w:val="21"/>
                      <w:lang w:val="en-US" w:eastAsia="zh-CN"/>
                    </w:rPr>
                    <w:t>下脚料</w:t>
                  </w:r>
                </w:p>
              </w:tc>
              <w:tc>
                <w:tcPr>
                  <w:tcW w:w="2351"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000000" w:themeColor="text1"/>
                      <w:position w:val="0"/>
                      <w:sz w:val="21"/>
                      <w:szCs w:val="21"/>
                      <w14:textFill>
                        <w14:solidFill>
                          <w14:schemeClr w14:val="tx1"/>
                        </w14:solidFill>
                      </w14:textFill>
                    </w:rPr>
                  </w:pPr>
                  <w:r>
                    <w:rPr>
                      <w:rFonts w:hint="default" w:ascii="Times New Roman" w:hAnsi="Times New Roman" w:eastAsia="Times New Roman"/>
                      <w:b w:val="0"/>
                      <w:color w:val="000000" w:themeColor="text1"/>
                      <w:position w:val="0"/>
                      <w:sz w:val="21"/>
                      <w:szCs w:val="21"/>
                      <w14:textFill>
                        <w14:solidFill>
                          <w14:schemeClr w14:val="tx1"/>
                        </w14:solidFill>
                      </w14:textFill>
                    </w:rPr>
                    <w:t>固废暂存</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000000" w:themeColor="text1"/>
                      <w:position w:val="0"/>
                      <w:sz w:val="21"/>
                      <w:szCs w:val="21"/>
                      <w14:textFill>
                        <w14:solidFill>
                          <w14:schemeClr w14:val="tx1"/>
                        </w14:solidFill>
                      </w14:textFill>
                    </w:rPr>
                  </w:pPr>
                </w:p>
              </w:tc>
              <w:tc>
                <w:tcPr>
                  <w:tcW w:w="1468" w:type="dxa"/>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Times New Roman"/>
                      <w:b w:val="0"/>
                      <w:color w:val="000000" w:themeColor="text1"/>
                      <w:position w:val="0"/>
                      <w:sz w:val="21"/>
                      <w:szCs w:val="21"/>
                      <w14:textFill>
                        <w14:solidFill>
                          <w14:schemeClr w14:val="tx1"/>
                        </w14:solidFill>
                      </w14:textFill>
                    </w:rPr>
                  </w:pPr>
                  <w:r>
                    <w:rPr>
                      <w:rFonts w:hint="default" w:ascii="Times New Roman" w:hAnsi="Times New Roman" w:eastAsia="Times New Roman"/>
                      <w:b w:val="0"/>
                      <w:color w:val="000000" w:themeColor="text1"/>
                      <w:position w:val="0"/>
                      <w:sz w:val="21"/>
                      <w:szCs w:val="21"/>
                      <w14:textFill>
                        <w14:solidFill>
                          <w14:schemeClr w14:val="tx1"/>
                        </w14:solidFill>
                      </w14:textFill>
                    </w:rPr>
                    <w:t>由环卫部门统一清运</w:t>
                  </w:r>
                </w:p>
              </w:tc>
              <w:tc>
                <w:tcPr>
                  <w:tcW w:w="1086" w:type="dxa"/>
                  <w:vMerge w:val="continue"/>
                  <w:vAlign w:val="center"/>
                </w:tcPr>
                <w:p>
                  <w:pP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84" w:hRule="atLeast"/>
                <w:jc w:val="center"/>
              </w:trPr>
              <w:tc>
                <w:tcPr>
                  <w:tcW w:w="673" w:type="dxa"/>
                  <w:vMerge w:val="continue"/>
                  <w:vAlign w:val="center"/>
                </w:tcPr>
                <w:p/>
              </w:tc>
              <w:tc>
                <w:tcPr>
                  <w:tcW w:w="1010" w:type="dxa"/>
                  <w:vMerge w:val="continue"/>
                  <w:vAlign w:val="center"/>
                </w:tcPr>
                <w:p/>
              </w:tc>
              <w:tc>
                <w:tcPr>
                  <w:tcW w:w="1708" w:type="dxa"/>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废离子交换树脂</w:t>
                  </w:r>
                </w:p>
              </w:tc>
              <w:tc>
                <w:tcPr>
                  <w:tcW w:w="2351" w:type="dxa"/>
                  <w:vAlign w:val="center"/>
                </w:tcPr>
                <w:p>
                  <w:pPr>
                    <w:pageBreakBefore w:val="0"/>
                    <w:numPr>
                      <w:ilvl w:val="0"/>
                      <w:numId w:val="0"/>
                    </w:numPr>
                    <w:autoSpaceDE/>
                    <w:autoSpaceDN/>
                    <w:bidi w:val="0"/>
                    <w:snapToGrid/>
                    <w:spacing w:before="0" w:after="0" w:line="240" w:lineRule="auto"/>
                    <w:ind w:right="0" w:firstLine="0"/>
                    <w:jc w:val="center"/>
                    <w:rPr>
                      <w:rFonts w:hint="eastAsia" w:ascii="Times New Roman" w:hAnsi="Times New Roman" w:eastAsia="宋体"/>
                      <w:b w:val="0"/>
                      <w:color w:val="000000" w:themeColor="text1"/>
                      <w:position w:val="0"/>
                      <w:sz w:val="21"/>
                      <w:szCs w:val="21"/>
                      <w:lang w:eastAsia="zh-CN"/>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危废</w:t>
                  </w:r>
                </w:p>
              </w:tc>
              <w:tc>
                <w:tcPr>
                  <w:tcW w:w="1468" w:type="dxa"/>
                  <w:vAlign w:val="center"/>
                </w:tcPr>
                <w:p>
                  <w:pPr>
                    <w:pageBreakBefore w:val="0"/>
                    <w:numPr>
                      <w:ilvl w:val="0"/>
                      <w:numId w:val="0"/>
                    </w:numPr>
                    <w:autoSpaceDE/>
                    <w:autoSpaceDN/>
                    <w:bidi w:val="0"/>
                    <w:snapToGrid w:val="0"/>
                    <w:spacing w:before="0" w:after="200" w:line="240" w:lineRule="auto"/>
                    <w:ind w:right="0" w:firstLine="0"/>
                    <w:jc w:val="center"/>
                    <w:rPr>
                      <w:rFonts w:hint="default" w:ascii="Times New Roman" w:hAnsi="Times New Roman" w:eastAsia="宋体"/>
                      <w:b w:val="0"/>
                      <w:color w:val="000000" w:themeColor="text1"/>
                      <w:position w:val="0"/>
                      <w:sz w:val="21"/>
                      <w:szCs w:val="21"/>
                      <w:lang w:val="en-US" w:eastAsia="zh-CN"/>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交由有资质单位处理</w:t>
                  </w:r>
                </w:p>
              </w:tc>
              <w:tc>
                <w:tcPr>
                  <w:tcW w:w="1086" w:type="dxa"/>
                  <w:vMerge w:val="continue"/>
                  <w:vAlign w:val="center"/>
                </w:tcPr>
                <w:p>
                  <w:pP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205" w:hRule="atLeast"/>
                <w:jc w:val="center"/>
              </w:trPr>
              <w:tc>
                <w:tcPr>
                  <w:tcW w:w="673"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噪</w:t>
                  </w:r>
                </w:p>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rPr>
                  </w:pPr>
                  <w:r>
                    <w:rPr>
                      <w:rFonts w:hint="default" w:ascii="Times New Roman" w:hAnsi="Times New Roman" w:eastAsia="Times New Roman"/>
                      <w:b w:val="0"/>
                      <w:color w:val="auto"/>
                      <w:position w:val="0"/>
                      <w:sz w:val="21"/>
                      <w:szCs w:val="21"/>
                    </w:rPr>
                    <w:t>声</w:t>
                  </w:r>
                </w:p>
              </w:tc>
              <w:tc>
                <w:tcPr>
                  <w:tcW w:w="6537" w:type="dxa"/>
                  <w:gridSpan w:val="4"/>
                  <w:vAlign w:val="center"/>
                </w:tcPr>
                <w:p>
                  <w:pPr>
                    <w:numPr>
                      <w:ilvl w:val="0"/>
                      <w:numId w:val="0"/>
                    </w:numPr>
                    <w:autoSpaceDE/>
                    <w:autoSpaceDN/>
                    <w:snapToGrid w:val="0"/>
                    <w:spacing w:before="0" w:after="0" w:line="360" w:lineRule="auto"/>
                    <w:ind w:right="0"/>
                    <w:jc w:val="both"/>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pPr>
                  <w:r>
                    <w:rPr>
                      <w:rFonts w:hint="eastAsia" w:ascii="Times New Roman" w:hAnsi="Times New Roman" w:eastAsia="宋体"/>
                      <w:b w:val="0"/>
                      <w:smallCaps w:val="0"/>
                      <w:color w:val="000000" w:themeColor="text1"/>
                      <w:spacing w:val="0"/>
                      <w:position w:val="0"/>
                      <w:sz w:val="21"/>
                      <w:szCs w:val="21"/>
                      <w:lang w:val="en-US" w:eastAsia="zh-CN"/>
                      <w14:textFill>
                        <w14:solidFill>
                          <w14:schemeClr w14:val="tx1"/>
                        </w14:solidFill>
                      </w14:textFill>
                    </w:rPr>
                    <w:t>对高噪声设备进行消声和减震处理，合理布局，加强绿化，形成隔声带</w:t>
                  </w:r>
                  <w:r>
                    <w:rPr>
                      <w:rFonts w:hint="default" w:ascii="Times New Roman" w:hAnsi="Times New Roman" w:eastAsia="Times New Roman"/>
                      <w:b w:val="0"/>
                      <w:smallCaps w:val="0"/>
                      <w:color w:val="000000" w:themeColor="text1"/>
                      <w:spacing w:val="0"/>
                      <w:position w:val="0"/>
                      <w:sz w:val="21"/>
                      <w:szCs w:val="21"/>
                      <w14:textFill>
                        <w14:solidFill>
                          <w14:schemeClr w14:val="tx1"/>
                        </w14:solidFill>
                      </w14:textFill>
                    </w:rPr>
                    <w:t>。</w:t>
                  </w:r>
                </w:p>
              </w:tc>
              <w:tc>
                <w:tcPr>
                  <w:tcW w:w="1086" w:type="dxa"/>
                  <w:vAlign w:val="center"/>
                </w:tcPr>
                <w:p>
                  <w:pPr>
                    <w:pageBreakBefore w:val="0"/>
                    <w:numPr>
                      <w:ilvl w:val="0"/>
                      <w:numId w:val="0"/>
                    </w:numPr>
                    <w:tabs>
                      <w:tab w:val="left" w:pos="7140"/>
                    </w:tabs>
                    <w:autoSpaceDE/>
                    <w:autoSpaceDN/>
                    <w:bidi w:val="0"/>
                    <w:snapToGrid/>
                    <w:spacing w:before="0" w:after="0" w:line="240" w:lineRule="auto"/>
                    <w:ind w:right="0" w:firstLine="0"/>
                    <w:jc w:val="center"/>
                    <w:rPr>
                      <w:rFonts w:hint="default" w:ascii="Times New Roman" w:hAnsi="Times New Roman" w:eastAsia="宋体"/>
                      <w:b w:val="0"/>
                      <w:color w:val="000000" w:themeColor="text1"/>
                      <w:position w:val="0"/>
                      <w:sz w:val="21"/>
                      <w:szCs w:val="21"/>
                      <w:lang w:val="en-US" w:eastAsia="zh-CN"/>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10" w:hRule="atLeast"/>
                <w:jc w:val="center"/>
              </w:trPr>
              <w:tc>
                <w:tcPr>
                  <w:tcW w:w="673" w:type="dxa"/>
                  <w:vAlign w:val="center"/>
                </w:tcPr>
                <w:p>
                  <w:pPr>
                    <w:pageBreakBefore w:val="0"/>
                    <w:numPr>
                      <w:ilvl w:val="0"/>
                      <w:numId w:val="0"/>
                    </w:numPr>
                    <w:autoSpaceDE/>
                    <w:autoSpaceDN/>
                    <w:bidi w:val="0"/>
                    <w:snapToGrid/>
                    <w:spacing w:before="0" w:after="0" w:line="240" w:lineRule="auto"/>
                    <w:ind w:right="0" w:firstLine="0"/>
                    <w:jc w:val="center"/>
                    <w:rPr>
                      <w:rFonts w:hint="eastAsia"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事故水池</w:t>
                  </w:r>
                </w:p>
              </w:tc>
              <w:tc>
                <w:tcPr>
                  <w:tcW w:w="6537" w:type="dxa"/>
                  <w:gridSpan w:val="4"/>
                  <w:vAlign w:val="center"/>
                </w:tcPr>
                <w:p>
                  <w:pPr>
                    <w:numPr>
                      <w:ilvl w:val="0"/>
                      <w:numId w:val="0"/>
                    </w:numPr>
                    <w:autoSpaceDE/>
                    <w:autoSpaceDN/>
                    <w:snapToGrid w:val="0"/>
                    <w:spacing w:before="0" w:after="0" w:line="360" w:lineRule="auto"/>
                    <w:ind w:right="0"/>
                    <w:jc w:val="both"/>
                    <w:rPr>
                      <w:rFonts w:hint="eastAsia" w:ascii="Times New Roman" w:hAnsi="Times New Roman" w:eastAsia="宋体"/>
                      <w:b w:val="0"/>
                      <w:smallCaps w:val="0"/>
                      <w:color w:val="000000" w:themeColor="text1"/>
                      <w:spacing w:val="0"/>
                      <w:position w:val="0"/>
                      <w:sz w:val="21"/>
                      <w:szCs w:val="21"/>
                      <w:lang w:val="en-US" w:eastAsia="zh-CN"/>
                      <w14:textFill>
                        <w14:solidFill>
                          <w14:schemeClr w14:val="tx1"/>
                        </w14:solidFill>
                      </w14:textFill>
                    </w:rPr>
                  </w:pPr>
                </w:p>
              </w:tc>
              <w:tc>
                <w:tcPr>
                  <w:tcW w:w="1086" w:type="dxa"/>
                  <w:vAlign w:val="center"/>
                </w:tcPr>
                <w:p>
                  <w:pPr>
                    <w:pageBreakBefore w:val="0"/>
                    <w:numPr>
                      <w:ilvl w:val="0"/>
                      <w:numId w:val="0"/>
                    </w:numPr>
                    <w:tabs>
                      <w:tab w:val="left" w:pos="7140"/>
                    </w:tabs>
                    <w:autoSpaceDE/>
                    <w:autoSpaceDN/>
                    <w:bidi w:val="0"/>
                    <w:snapToGrid/>
                    <w:spacing w:before="0" w:after="0" w:line="240" w:lineRule="auto"/>
                    <w:ind w:right="0" w:firstLine="0"/>
                    <w:jc w:val="center"/>
                    <w:rPr>
                      <w:rFonts w:hint="default" w:ascii="Times New Roman" w:hAnsi="Times New Roman" w:eastAsia="宋体"/>
                      <w:b w:val="0"/>
                      <w:color w:val="000000" w:themeColor="text1"/>
                      <w:position w:val="0"/>
                      <w:sz w:val="21"/>
                      <w:szCs w:val="21"/>
                      <w:lang w:val="en-US" w:eastAsia="zh-CN"/>
                      <w14:textFill>
                        <w14:solidFill>
                          <w14:schemeClr w14:val="tx1"/>
                        </w14:solidFill>
                      </w14:textFill>
                    </w:rPr>
                  </w:pPr>
                  <w:r>
                    <w:rPr>
                      <w:rFonts w:hint="eastAsia" w:ascii="Times New Roman" w:hAnsi="Times New Roman" w:eastAsia="宋体"/>
                      <w:b w:val="0"/>
                      <w:color w:val="000000" w:themeColor="text1"/>
                      <w:position w:val="0"/>
                      <w:sz w:val="21"/>
                      <w:szCs w:val="21"/>
                      <w:lang w:val="en-US" w:eastAsia="zh-CN"/>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81" w:hRule="atLeast"/>
                <w:jc w:val="center"/>
              </w:trPr>
              <w:tc>
                <w:tcPr>
                  <w:tcW w:w="673" w:type="dxa"/>
                  <w:vAlign w:val="center"/>
                </w:tcPr>
                <w:p>
                  <w:pPr>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auto"/>
                      <w:position w:val="0"/>
                      <w:sz w:val="21"/>
                      <w:szCs w:val="21"/>
                      <w:shd w:val="clear" w:color="000000"/>
                    </w:rPr>
                  </w:pPr>
                  <w:r>
                    <w:rPr>
                      <w:rFonts w:hint="default" w:ascii="Times New Roman" w:hAnsi="Times New Roman" w:eastAsia="Times New Roman"/>
                      <w:b w:val="0"/>
                      <w:color w:val="auto"/>
                      <w:position w:val="0"/>
                      <w:sz w:val="21"/>
                      <w:szCs w:val="21"/>
                      <w:shd w:val="clear" w:color="000000"/>
                    </w:rPr>
                    <w:t>合计</w:t>
                  </w:r>
                </w:p>
              </w:tc>
              <w:tc>
                <w:tcPr>
                  <w:tcW w:w="6537" w:type="dxa"/>
                  <w:gridSpan w:val="4"/>
                  <w:vAlign w:val="center"/>
                </w:tcPr>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Times New Roman"/>
                      <w:b w:val="0"/>
                      <w:color w:val="000000" w:themeColor="text1"/>
                      <w:position w:val="0"/>
                      <w:sz w:val="21"/>
                      <w:szCs w:val="21"/>
                      <w:shd w:val="clear" w:color="000000"/>
                      <w14:textFill>
                        <w14:solidFill>
                          <w14:schemeClr w14:val="tx1"/>
                        </w14:solidFill>
                      </w14:textFill>
                    </w:rPr>
                  </w:pPr>
                </w:p>
              </w:tc>
              <w:tc>
                <w:tcPr>
                  <w:tcW w:w="1086" w:type="dxa"/>
                  <w:vAlign w:val="center"/>
                </w:tcPr>
                <w:p>
                  <w:pPr>
                    <w:pStyle w:val="60"/>
                    <w:pageBreakBefore w:val="0"/>
                    <w:numPr>
                      <w:ilvl w:val="0"/>
                      <w:numId w:val="0"/>
                    </w:numPr>
                    <w:autoSpaceDE/>
                    <w:autoSpaceDN/>
                    <w:bidi w:val="0"/>
                    <w:snapToGrid/>
                    <w:spacing w:before="0" w:after="0" w:line="240" w:lineRule="auto"/>
                    <w:ind w:right="0" w:firstLine="0"/>
                    <w:jc w:val="center"/>
                    <w:rPr>
                      <w:rFonts w:hint="default" w:ascii="Times New Roman" w:hAnsi="Times New Roman" w:eastAsia="宋体"/>
                      <w:b w:val="0"/>
                      <w:color w:val="000000" w:themeColor="text1"/>
                      <w:position w:val="0"/>
                      <w:sz w:val="21"/>
                      <w:szCs w:val="21"/>
                      <w:shd w:val="clear" w:color="000000"/>
                      <w:lang w:val="en-US" w:eastAsia="zh-CN"/>
                      <w14:textFill>
                        <w14:solidFill>
                          <w14:schemeClr w14:val="tx1"/>
                        </w14:solidFill>
                      </w14:textFill>
                    </w:rPr>
                  </w:pPr>
                  <w:r>
                    <w:rPr>
                      <w:rFonts w:hint="eastAsia" w:ascii="Times New Roman" w:hAnsi="Times New Roman" w:eastAsia="宋体"/>
                      <w:b w:val="0"/>
                      <w:color w:val="000000" w:themeColor="text1"/>
                      <w:position w:val="0"/>
                      <w:sz w:val="21"/>
                      <w:szCs w:val="21"/>
                      <w:shd w:val="clear" w:color="000000"/>
                      <w:lang w:val="en-US" w:eastAsia="zh-CN"/>
                      <w14:textFill>
                        <w14:solidFill>
                          <w14:schemeClr w14:val="tx1"/>
                        </w14:solidFill>
                      </w14:textFill>
                    </w:rPr>
                    <w:t>19.5</w:t>
                  </w:r>
                </w:p>
              </w:tc>
            </w:tr>
          </w:tbl>
          <w:p>
            <w:pPr>
              <w:jc w:val="both"/>
            </w:pPr>
          </w:p>
        </w:tc>
      </w:tr>
    </w:tbl>
    <w:p>
      <w:pPr>
        <w:numPr>
          <w:ilvl w:val="0"/>
          <w:numId w:val="0"/>
        </w:numPr>
        <w:wordWrap w:val="0"/>
        <w:spacing w:before="0" w:after="0" w:line="240" w:lineRule="auto"/>
        <w:ind w:right="0" w:firstLine="0"/>
        <w:jc w:val="center"/>
        <w:rPr>
          <w:rFonts w:hint="default" w:ascii="Times New Roman" w:hAnsi="Times New Roman" w:eastAsia="Times New Roman"/>
          <w:b/>
          <w:color w:val="auto"/>
          <w:position w:val="0"/>
          <w:sz w:val="24"/>
          <w:szCs w:val="24"/>
        </w:rPr>
      </w:pPr>
      <w:bookmarkStart w:id="13" w:name="_Toc2436"/>
    </w:p>
    <w:bookmarkEnd w:id="13"/>
    <w:p>
      <w:pPr>
        <w:pStyle w:val="40"/>
        <w:pageBreakBefore w:val="0"/>
        <w:numPr>
          <w:ilvl w:val="0"/>
          <w:numId w:val="0"/>
        </w:numPr>
        <w:autoSpaceDE w:val="0"/>
        <w:autoSpaceDN w:val="0"/>
        <w:bidi w:val="0"/>
        <w:snapToGrid/>
        <w:spacing w:before="0" w:after="160" w:line="240" w:lineRule="auto"/>
        <w:ind w:right="0" w:firstLine="0"/>
        <w:jc w:val="left"/>
        <w:outlineLvl w:val="0"/>
        <w:rPr>
          <w:rFonts w:hint="default" w:ascii="Times New Roman" w:hAnsi="Times New Roman" w:eastAsia="Times New Roman"/>
          <w:b/>
          <w:color w:val="auto"/>
          <w:position w:val="0"/>
          <w:sz w:val="24"/>
          <w:szCs w:val="24"/>
        </w:rPr>
      </w:pPr>
    </w:p>
    <w:tbl>
      <w:tblPr>
        <w:tblStyle w:val="3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5" w:hRule="atLeast"/>
          <w:jc w:val="center"/>
        </w:trPr>
        <w:tc>
          <w:tcPr>
            <w:tcW w:w="8522" w:type="dxa"/>
            <w:vAlign w:val="top"/>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outlineLvl w:val="0"/>
              <w:rPr>
                <w:rFonts w:hint="default" w:ascii="Times New Roman" w:hAnsi="Times New Roman" w:cs="Times New Roman" w:eastAsiaTheme="minorEastAsia"/>
                <w:b/>
                <w:color w:val="auto"/>
                <w:position w:val="0"/>
                <w:sz w:val="24"/>
                <w:szCs w:val="24"/>
              </w:rPr>
            </w:pPr>
            <w:bookmarkStart w:id="14" w:name="_Toc5974"/>
            <w:r>
              <w:rPr>
                <w:rFonts w:hint="default" w:ascii="Times New Roman" w:hAnsi="Times New Roman" w:cs="Times New Roman" w:eastAsiaTheme="minorEastAsia"/>
                <w:b/>
                <w:color w:val="auto"/>
                <w:position w:val="0"/>
                <w:sz w:val="24"/>
                <w:szCs w:val="24"/>
              </w:rPr>
              <w:t>建设项目环境影响报告表主要结论及审批部门审批决定：</w:t>
            </w:r>
            <w:bookmarkEnd w:id="14"/>
          </w:p>
          <w:p>
            <w:pPr>
              <w:keepNext w:val="0"/>
              <w:keepLines w:val="0"/>
              <w:pageBreakBefore w:val="0"/>
              <w:numPr>
                <w:ilvl w:val="0"/>
                <w:numId w:val="2"/>
              </w:numPr>
              <w:kinsoku/>
              <w:overflowPunct/>
              <w:topLinePunct w:val="0"/>
              <w:autoSpaceDE/>
              <w:autoSpaceDN/>
              <w:bidi w:val="0"/>
              <w:adjustRightInd/>
              <w:snapToGrid/>
              <w:spacing w:before="0" w:line="360" w:lineRule="auto"/>
              <w:ind w:right="0" w:firstLine="482"/>
              <w:jc w:val="left"/>
              <w:textAlignment w:val="auto"/>
              <w:rPr>
                <w:rFonts w:hint="default" w:ascii="Times New Roman" w:hAnsi="Times New Roman" w:cs="Times New Roman" w:eastAsiaTheme="minorEastAsia"/>
                <w:b/>
                <w:color w:val="auto"/>
                <w:position w:val="0"/>
                <w:sz w:val="24"/>
                <w:szCs w:val="24"/>
              </w:rPr>
            </w:pPr>
            <w:r>
              <w:rPr>
                <w:rFonts w:hint="default" w:ascii="Times New Roman" w:hAnsi="Times New Roman" w:cs="Times New Roman" w:eastAsiaTheme="minorEastAsia"/>
                <w:b/>
                <w:color w:val="auto"/>
                <w:position w:val="0"/>
                <w:sz w:val="24"/>
                <w:szCs w:val="24"/>
              </w:rPr>
              <w:t>环评报告表主要结论（摘要）：</w:t>
            </w:r>
          </w:p>
          <w:p>
            <w:pPr>
              <w:snapToGrid w:val="0"/>
              <w:spacing w:line="360" w:lineRule="auto"/>
              <w:ind w:firstLine="560" w:firstLineChars="200"/>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eastAsia="zh-CN"/>
              </w:rPr>
              <w:t>一、</w:t>
            </w:r>
            <w:r>
              <w:rPr>
                <w:rFonts w:hint="default" w:ascii="Times New Roman" w:hAnsi="Times New Roman" w:cs="Times New Roman"/>
                <w:b/>
                <w:color w:val="auto"/>
                <w:sz w:val="28"/>
                <w:szCs w:val="28"/>
              </w:rPr>
              <w:t>结论</w:t>
            </w:r>
          </w:p>
          <w:p>
            <w:pPr>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项目概况</w:t>
            </w:r>
          </w:p>
          <w:p>
            <w:pPr>
              <w:pStyle w:val="30"/>
              <w:adjustRightInd w:val="0"/>
              <w:snapToGrid w:val="0"/>
              <w:spacing w:before="0" w:beforeAutospacing="0" w:after="0" w:afterAutospacing="0" w:line="360" w:lineRule="auto"/>
              <w:ind w:firstLine="480" w:firstLineChars="200"/>
              <w:jc w:val="both"/>
              <w:rPr>
                <w:rFonts w:hint="eastAsia"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菏泽鼎侨发制品有限公司</w:t>
            </w:r>
            <w:r>
              <w:rPr>
                <w:rFonts w:hint="default" w:ascii="Times New Roman" w:hAnsi="Times New Roman" w:cs="Times New Roman"/>
                <w:color w:val="auto"/>
                <w:kern w:val="2"/>
              </w:rPr>
              <w:t>是一家从事</w:t>
            </w:r>
            <w:r>
              <w:rPr>
                <w:rFonts w:hint="default" w:ascii="Times New Roman" w:hAnsi="Times New Roman" w:cs="Times New Roman"/>
                <w:color w:val="auto"/>
                <w:kern w:val="2"/>
                <w:lang w:eastAsia="zh-CN"/>
              </w:rPr>
              <w:t>发制品</w:t>
            </w:r>
            <w:r>
              <w:rPr>
                <w:rFonts w:hint="default" w:ascii="Times New Roman" w:hAnsi="Times New Roman" w:cs="Times New Roman"/>
                <w:color w:val="auto"/>
                <w:kern w:val="2"/>
              </w:rPr>
              <w:t>加工</w:t>
            </w:r>
            <w:r>
              <w:rPr>
                <w:rFonts w:hint="default" w:ascii="Times New Roman" w:hAnsi="Times New Roman" w:cs="Times New Roman"/>
                <w:color w:val="auto"/>
                <w:kern w:val="2"/>
                <w:lang w:eastAsia="zh-CN"/>
              </w:rPr>
              <w:t>、</w:t>
            </w:r>
            <w:r>
              <w:rPr>
                <w:rFonts w:hint="default" w:ascii="Times New Roman" w:hAnsi="Times New Roman" w:cs="Times New Roman"/>
                <w:color w:val="auto"/>
                <w:kern w:val="2"/>
              </w:rPr>
              <w:t>销售的企业。</w:t>
            </w:r>
            <w:r>
              <w:rPr>
                <w:rFonts w:hint="eastAsia" w:ascii="Times New Roman" w:hAnsi="Times New Roman" w:cs="Times New Roman"/>
                <w:color w:val="auto"/>
                <w:sz w:val="24"/>
                <w:szCs w:val="24"/>
                <w:u w:val="none"/>
                <w:lang w:val="en-US" w:eastAsia="zh-CN"/>
              </w:rPr>
              <w:t>菏泽鼎侨发制品有限公司</w:t>
            </w:r>
            <w:r>
              <w:rPr>
                <w:rFonts w:hint="default" w:ascii="Times New Roman" w:hAnsi="Times New Roman" w:cs="Times New Roman"/>
                <w:color w:val="auto"/>
                <w:kern w:val="2"/>
              </w:rPr>
              <w:t>经过市场调研，</w:t>
            </w:r>
            <w:r>
              <w:rPr>
                <w:rFonts w:hint="default" w:ascii="Times New Roman" w:hAnsi="Times New Roman" w:cs="Times New Roman"/>
                <w:color w:val="auto"/>
              </w:rPr>
              <w:t>决定投资</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000万元</w:t>
            </w:r>
            <w:r>
              <w:rPr>
                <w:rFonts w:hint="default" w:ascii="Times New Roman" w:hAnsi="Times New Roman" w:cs="Times New Roman"/>
                <w:color w:val="auto"/>
              </w:rPr>
              <w:t>，在</w:t>
            </w:r>
            <w:r>
              <w:rPr>
                <w:rFonts w:hint="eastAsia" w:ascii="Times New Roman" w:hAnsi="Times New Roman" w:cs="Times New Roman"/>
                <w:color w:val="auto"/>
                <w:lang w:eastAsia="zh-CN"/>
              </w:rPr>
              <w:t>山东省菏泽市鄄城县永定路与北环路交叉口南200米路东</w:t>
            </w:r>
            <w:r>
              <w:rPr>
                <w:rFonts w:hint="default" w:ascii="Times New Roman" w:hAnsi="Times New Roman" w:cs="Times New Roman"/>
                <w:color w:val="auto"/>
                <w:lang w:eastAsia="zh-CN"/>
              </w:rPr>
              <w:t>，</w:t>
            </w:r>
            <w:r>
              <w:rPr>
                <w:rFonts w:hint="eastAsia" w:ascii="Times New Roman" w:hAnsi="Times New Roman" w:cs="Times New Roman"/>
                <w:color w:val="auto"/>
                <w:lang w:eastAsia="zh-CN"/>
              </w:rPr>
              <w:t>租赁鄄城裕昌发制品有限公司厂区内闲置厂房（租赁协议见附件），建设</w:t>
            </w:r>
            <w:r>
              <w:rPr>
                <w:rFonts w:hint="eastAsia" w:ascii="Times New Roman" w:hAnsi="Times New Roman" w:cs="Times New Roman"/>
                <w:color w:val="auto"/>
                <w:sz w:val="24"/>
                <w:szCs w:val="24"/>
                <w:u w:val="none"/>
                <w:lang w:val="en-US" w:eastAsia="zh-CN"/>
              </w:rPr>
              <w:t>年产40吨发制品项目。</w:t>
            </w:r>
          </w:p>
          <w:p>
            <w:pPr>
              <w:pStyle w:val="30"/>
              <w:adjustRightInd w:val="0"/>
              <w:snapToGrid w:val="0"/>
              <w:spacing w:before="0" w:beforeAutospacing="0" w:after="0" w:afterAutospacing="0" w:line="360" w:lineRule="auto"/>
              <w:ind w:firstLine="480" w:firstLineChars="200"/>
              <w:jc w:val="both"/>
              <w:rPr>
                <w:rStyle w:val="125"/>
                <w:rFonts w:hint="default" w:ascii="Times New Roman" w:hAnsi="Times New Roman" w:cs="Times New Roman"/>
                <w:color w:val="auto"/>
                <w:sz w:val="24"/>
                <w:szCs w:val="24"/>
                <w:lang w:bidi="ar"/>
              </w:rPr>
            </w:pPr>
            <w:r>
              <w:rPr>
                <w:rFonts w:hint="eastAsia" w:ascii="Times New Roman" w:hAnsi="Times New Roman" w:cs="Times New Roman"/>
                <w:color w:val="auto"/>
                <w:lang w:eastAsia="zh-CN"/>
              </w:rPr>
              <w:t>根据鄄城县第二人发产业园规划图（详见附图），本项目位于鄄城县第二人发产业园内，是鄄城县第二人发产业园项目的组成部分，本项目已经通过鄄城裕昌发制品有限公司与鄄城县第二人发产业园签订入园协议（入园证明详见附件），</w:t>
            </w:r>
            <w:r>
              <w:rPr>
                <w:rFonts w:hint="default" w:ascii="Times New Roman" w:hAnsi="Times New Roman" w:cs="Times New Roman"/>
                <w:color w:val="auto"/>
                <w:kern w:val="2"/>
                <w:highlight w:val="none"/>
              </w:rPr>
              <w:t>根据现场勘查，本项目</w:t>
            </w:r>
            <w:r>
              <w:rPr>
                <w:rFonts w:hint="eastAsia" w:ascii="Times New Roman" w:hAnsi="Times New Roman" w:cs="Times New Roman"/>
                <w:color w:val="auto"/>
                <w:kern w:val="2"/>
                <w:highlight w:val="none"/>
                <w:lang w:eastAsia="zh-CN"/>
              </w:rPr>
              <w:t>车间内尚未购进设备</w:t>
            </w:r>
            <w:r>
              <w:rPr>
                <w:rFonts w:hint="default" w:ascii="Times New Roman" w:hAnsi="Times New Roman" w:cs="Times New Roman"/>
                <w:color w:val="auto"/>
                <w:kern w:val="2"/>
                <w:highlight w:val="none"/>
              </w:rPr>
              <w:t>。</w:t>
            </w:r>
          </w:p>
          <w:p>
            <w:pPr>
              <w:pStyle w:val="30"/>
              <w:adjustRightInd w:val="0"/>
              <w:snapToGrid w:val="0"/>
              <w:spacing w:before="0" w:beforeAutospacing="0" w:after="0" w:afterAutospacing="0" w:line="360" w:lineRule="auto"/>
              <w:ind w:firstLine="480" w:firstLineChars="200"/>
              <w:jc w:val="both"/>
              <w:rPr>
                <w:rStyle w:val="125"/>
                <w:rFonts w:hint="default" w:ascii="Times New Roman" w:hAnsi="Times New Roman" w:cs="Times New Roman"/>
                <w:color w:val="auto"/>
                <w:sz w:val="24"/>
                <w:szCs w:val="24"/>
                <w:lang w:bidi="ar"/>
              </w:rPr>
            </w:pPr>
            <w:r>
              <w:rPr>
                <w:rFonts w:hint="default" w:ascii="Times New Roman" w:hAnsi="Times New Roman" w:cs="Times New Roman"/>
                <w:color w:val="auto"/>
                <w:kern w:val="2"/>
                <w:highlight w:val="none"/>
              </w:rPr>
              <w:t>项目建成后具备</w:t>
            </w:r>
            <w:r>
              <w:rPr>
                <w:rFonts w:hint="default" w:ascii="Times New Roman" w:hAnsi="Times New Roman" w:cs="Times New Roman"/>
                <w:color w:val="auto"/>
                <w:sz w:val="24"/>
                <w:szCs w:val="24"/>
                <w:u w:val="none"/>
                <w:lang w:val="en-US" w:eastAsia="zh-CN"/>
              </w:rPr>
              <w:t>年产</w:t>
            </w:r>
            <w:r>
              <w:rPr>
                <w:rFonts w:hint="eastAsia" w:ascii="Times New Roman" w:hAnsi="Times New Roman" w:cs="Times New Roman"/>
                <w:color w:val="auto"/>
                <w:sz w:val="24"/>
                <w:szCs w:val="24"/>
                <w:u w:val="none"/>
                <w:lang w:val="en-US" w:eastAsia="zh-CN"/>
              </w:rPr>
              <w:t>40</w:t>
            </w:r>
            <w:r>
              <w:rPr>
                <w:rFonts w:hint="default" w:ascii="Times New Roman" w:hAnsi="Times New Roman" w:cs="Times New Roman"/>
                <w:color w:val="auto"/>
                <w:sz w:val="24"/>
                <w:szCs w:val="24"/>
                <w:u w:val="none"/>
                <w:lang w:val="en-US" w:eastAsia="zh-CN"/>
              </w:rPr>
              <w:t>吨</w:t>
            </w:r>
            <w:r>
              <w:rPr>
                <w:rFonts w:hint="eastAsia" w:ascii="Times New Roman" w:hAnsi="Times New Roman" w:cs="Times New Roman"/>
                <w:color w:val="auto"/>
                <w:sz w:val="24"/>
                <w:szCs w:val="24"/>
                <w:u w:val="none"/>
                <w:lang w:val="en-US" w:eastAsia="zh-CN"/>
              </w:rPr>
              <w:t>人发</w:t>
            </w:r>
            <w:r>
              <w:rPr>
                <w:rFonts w:hint="default" w:ascii="Times New Roman" w:hAnsi="Times New Roman" w:cs="Times New Roman"/>
                <w:color w:val="auto"/>
                <w:sz w:val="24"/>
                <w:szCs w:val="24"/>
                <w:u w:val="none"/>
                <w:lang w:val="en-US" w:eastAsia="zh-CN"/>
              </w:rPr>
              <w:t>制品</w:t>
            </w:r>
            <w:r>
              <w:rPr>
                <w:rFonts w:hint="default" w:ascii="Times New Roman" w:hAnsi="Times New Roman" w:cs="Times New Roman"/>
                <w:color w:val="auto"/>
                <w:kern w:val="2"/>
                <w:highlight w:val="none"/>
              </w:rPr>
              <w:t>生产能力，根据现场勘查，本项目尚未动工。</w:t>
            </w:r>
          </w:p>
          <w:p>
            <w:pPr>
              <w:adjustRightInd w:val="0"/>
              <w:snapToGrid w:val="0"/>
              <w:spacing w:line="360" w:lineRule="auto"/>
              <w:ind w:firstLine="480"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项目符合国家当前政策</w:t>
            </w:r>
          </w:p>
          <w:p>
            <w:pPr>
              <w:adjustRightInd w:val="0"/>
              <w:snapToGrid w:val="0"/>
              <w:spacing w:line="360" w:lineRule="auto"/>
              <w:ind w:firstLine="480"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2.1</w:t>
            </w:r>
            <w:r>
              <w:rPr>
                <w:rFonts w:hint="default" w:ascii="Times New Roman" w:hAnsi="Times New Roman" w:cs="Times New Roman"/>
                <w:b/>
                <w:color w:val="auto"/>
                <w:sz w:val="24"/>
                <w:szCs w:val="24"/>
              </w:rPr>
              <w:t>与产业政策的符合性分析</w:t>
            </w:r>
          </w:p>
          <w:p>
            <w:pPr>
              <w:pStyle w:val="126"/>
              <w:spacing w:line="360" w:lineRule="auto"/>
              <w:jc w:val="both"/>
              <w:rPr>
                <w:rFonts w:hint="default" w:ascii="Times New Roman" w:hAnsi="Times New Roman" w:cs="Times New Roman"/>
                <w:color w:val="auto"/>
                <w:kern w:val="0"/>
              </w:rPr>
            </w:pPr>
            <w:r>
              <w:rPr>
                <w:rFonts w:hint="default" w:ascii="Times New Roman" w:hAnsi="Times New Roman" w:cs="Times New Roman"/>
                <w:color w:val="auto"/>
              </w:rPr>
              <w:t>根据《产业结构调整目录(2011年本)》(2013修正)，本项目不在其规定的鼓励类、限制类和淘汰类范围内，属于允许</w:t>
            </w:r>
            <w:r>
              <w:rPr>
                <w:rFonts w:hint="default" w:ascii="Times New Roman" w:hAnsi="Times New Roman" w:cs="Times New Roman"/>
                <w:color w:val="auto"/>
                <w:lang w:eastAsia="zh-CN"/>
              </w:rPr>
              <w:t>建设</w:t>
            </w:r>
            <w:r>
              <w:rPr>
                <w:rFonts w:hint="default" w:ascii="Times New Roman" w:hAnsi="Times New Roman" w:cs="Times New Roman"/>
                <w:color w:val="auto"/>
              </w:rPr>
              <w:t>项目。</w:t>
            </w:r>
            <w:r>
              <w:rPr>
                <w:rFonts w:hint="default" w:ascii="Times New Roman" w:hAnsi="Times New Roman" w:cs="Times New Roman"/>
                <w:color w:val="auto"/>
                <w:kern w:val="0"/>
              </w:rPr>
              <w:t>因此，该项目</w:t>
            </w:r>
            <w:r>
              <w:rPr>
                <w:rFonts w:hint="default" w:ascii="Times New Roman" w:hAnsi="Times New Roman" w:cs="Times New Roman"/>
                <w:color w:val="auto"/>
              </w:rPr>
              <w:t>符合国家和地方产业政策。</w:t>
            </w:r>
          </w:p>
          <w:p>
            <w:pPr>
              <w:pStyle w:val="30"/>
              <w:adjustRightInd w:val="0"/>
              <w:snapToGrid w:val="0"/>
              <w:spacing w:before="0" w:beforeAutospacing="0" w:after="0" w:afterAutospacing="0" w:line="360" w:lineRule="auto"/>
              <w:ind w:firstLine="480" w:firstLineChars="200"/>
              <w:jc w:val="both"/>
              <w:rPr>
                <w:rFonts w:hint="default" w:ascii="Times New Roman" w:hAnsi="Times New Roman" w:cs="Times New Roman"/>
                <w:b/>
                <w:color w:val="auto"/>
              </w:rPr>
            </w:pPr>
            <w:r>
              <w:rPr>
                <w:rFonts w:hint="default" w:ascii="Times New Roman" w:hAnsi="Times New Roman" w:cs="Times New Roman"/>
                <w:b/>
                <w:color w:val="auto"/>
                <w:lang w:val="en-US" w:eastAsia="zh-CN"/>
              </w:rPr>
              <w:t>2.2</w:t>
            </w:r>
            <w:r>
              <w:rPr>
                <w:rFonts w:hint="default" w:ascii="Times New Roman" w:hAnsi="Times New Roman" w:cs="Times New Roman"/>
                <w:b/>
                <w:color w:val="auto"/>
              </w:rPr>
              <w:t>土地利用总体规划符合性分析</w:t>
            </w:r>
          </w:p>
          <w:p>
            <w:p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eastAsia" w:ascii="Times New Roman" w:hAnsi="Times New Roman" w:cs="Times New Roman"/>
                <w:color w:val="auto"/>
                <w:sz w:val="24"/>
                <w:szCs w:val="24"/>
                <w:lang w:eastAsia="zh-CN"/>
              </w:rPr>
              <w:t>山东省菏泽市鄄城县永定路与北环路交叉口南200米路东</w:t>
            </w: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鄄城县凤凰镇</w:t>
            </w:r>
            <w:r>
              <w:rPr>
                <w:rFonts w:hint="default" w:ascii="Times New Roman" w:hAnsi="Times New Roman" w:cs="Times New Roman"/>
                <w:color w:val="auto"/>
                <w:sz w:val="24"/>
                <w:szCs w:val="24"/>
              </w:rPr>
              <w:t>人民政府出具的证明，</w:t>
            </w:r>
            <w:r>
              <w:rPr>
                <w:rFonts w:hint="eastAsia" w:ascii="Times New Roman" w:hAnsi="Times New Roman" w:cs="Times New Roman"/>
                <w:color w:val="auto"/>
                <w:sz w:val="24"/>
                <w:szCs w:val="24"/>
                <w:lang w:eastAsia="zh-CN"/>
              </w:rPr>
              <w:t>项目用地为工业用地，</w:t>
            </w: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选址位于</w:t>
            </w:r>
            <w:r>
              <w:rPr>
                <w:rFonts w:hint="eastAsia" w:ascii="Times New Roman" w:hAnsi="Times New Roman" w:cs="Times New Roman"/>
                <w:color w:val="auto"/>
                <w:sz w:val="24"/>
                <w:szCs w:val="24"/>
                <w:highlight w:val="none"/>
                <w:lang w:eastAsia="zh-CN"/>
              </w:rPr>
              <w:t>鄄城县第二人发产业园</w:t>
            </w:r>
            <w:r>
              <w:rPr>
                <w:rFonts w:hint="default" w:ascii="Times New Roman" w:hAnsi="Times New Roman" w:cs="Times New Roman"/>
                <w:color w:val="auto"/>
                <w:sz w:val="24"/>
                <w:szCs w:val="24"/>
                <w:highlight w:val="none"/>
                <w:lang w:eastAsia="zh-CN"/>
              </w:rPr>
              <w:t>园区内</w:t>
            </w:r>
            <w:r>
              <w:rPr>
                <w:rFonts w:hint="default" w:ascii="Times New Roman" w:hAnsi="Times New Roman" w:cs="Times New Roman"/>
                <w:color w:val="auto"/>
                <w:sz w:val="24"/>
                <w:szCs w:val="24"/>
                <w:highlight w:val="none"/>
              </w:rPr>
              <w:t>，符合</w:t>
            </w:r>
            <w:r>
              <w:rPr>
                <w:rFonts w:hint="default" w:ascii="Times New Roman" w:hAnsi="Times New Roman" w:cs="Times New Roman"/>
                <w:color w:val="auto"/>
                <w:sz w:val="24"/>
                <w:szCs w:val="24"/>
                <w:highlight w:val="none"/>
                <w:lang w:eastAsia="zh-CN"/>
              </w:rPr>
              <w:t>凤凰镇</w:t>
            </w:r>
            <w:r>
              <w:rPr>
                <w:rFonts w:hint="default" w:ascii="Times New Roman" w:hAnsi="Times New Roman" w:cs="Times New Roman"/>
                <w:color w:val="auto"/>
                <w:sz w:val="24"/>
                <w:szCs w:val="24"/>
                <w:highlight w:val="none"/>
              </w:rPr>
              <w:t>乡镇规划（见附件</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szCs w:val="24"/>
              </w:rPr>
              <w:t>本项目用地不属于《限制用地项目目录（2012 年本）》和《禁止用地项目目录（2012 年本）》中相应用地，同时不属于《山东省禁止限制供地项目目录及建设用地集约利用控制标准》中山东省禁止、限制供</w:t>
            </w:r>
            <w:r>
              <w:rPr>
                <w:rFonts w:hint="default" w:ascii="Times New Roman" w:hAnsi="Times New Roman" w:cs="Times New Roman"/>
                <w:color w:val="auto"/>
                <w:sz w:val="24"/>
              </w:rPr>
              <w:t>地项目用地。</w:t>
            </w:r>
          </w:p>
          <w:p>
            <w:pPr>
              <w:widowControl/>
              <w:adjustRightInd w:val="0"/>
              <w:snapToGrid w:val="0"/>
              <w:spacing w:line="360" w:lineRule="auto"/>
              <w:ind w:firstLine="480" w:firstLineChars="200"/>
              <w:jc w:val="left"/>
              <w:textAlignment w:val="center"/>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lang w:val="en-US" w:eastAsia="zh-CN"/>
              </w:rPr>
              <w:t>2.3</w:t>
            </w:r>
            <w:r>
              <w:rPr>
                <w:rFonts w:hint="default" w:ascii="Times New Roman" w:hAnsi="Times New Roman" w:cs="Times New Roman"/>
                <w:b/>
                <w:color w:val="auto"/>
                <w:kern w:val="0"/>
                <w:sz w:val="24"/>
                <w:szCs w:val="24"/>
              </w:rPr>
              <w:t>选址合理性分析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eastAsia" w:ascii="Times New Roman" w:hAnsi="Times New Roman" w:cs="Times New Roman"/>
                <w:color w:val="auto"/>
                <w:sz w:val="24"/>
                <w:szCs w:val="24"/>
                <w:lang w:eastAsia="zh-CN"/>
              </w:rPr>
              <w:t>山东省菏泽市鄄城县永定路与北环路交叉口南200米路东</w:t>
            </w:r>
            <w:r>
              <w:rPr>
                <w:rFonts w:hint="default" w:ascii="Times New Roman" w:hAnsi="Times New Roman" w:cs="Times New Roman"/>
                <w:color w:val="auto"/>
                <w:sz w:val="24"/>
                <w:szCs w:val="24"/>
                <w:lang w:eastAsia="zh-CN"/>
              </w:rPr>
              <w:t>。位于城县人发产业二园园区内，</w:t>
            </w:r>
            <w:r>
              <w:rPr>
                <w:rFonts w:hint="default" w:ascii="Times New Roman" w:hAnsi="Times New Roman" w:cs="Times New Roman"/>
                <w:color w:val="auto"/>
                <w:sz w:val="24"/>
                <w:szCs w:val="24"/>
              </w:rPr>
              <w:t>本项目所在区域交通便利，便于原料及产品的运输。</w:t>
            </w:r>
          </w:p>
          <w:p>
            <w:pPr>
              <w:pStyle w:val="3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项目所在区域水电供应充足，道路等基础设施齐全，项目配套制定了完善的废水、废气、噪声及固废处理设施，产生的污染物经过合理的处理后均能达标排放或妥善处置。本项目所在区域无饮用水源保护区、集中式生活饮用水源地、风景名胜区等需要特殊保护的地区。因此该项目厂址选择是合理的。</w:t>
            </w:r>
          </w:p>
          <w:p>
            <w:pPr>
              <w:spacing w:line="360" w:lineRule="auto"/>
              <w:ind w:left="48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2.4</w:t>
            </w:r>
            <w:r>
              <w:rPr>
                <w:rFonts w:hint="default" w:ascii="Times New Roman" w:hAnsi="Times New Roman" w:cs="Times New Roman"/>
                <w:b/>
                <w:bCs/>
                <w:color w:val="auto"/>
                <w:sz w:val="24"/>
                <w:szCs w:val="24"/>
              </w:rPr>
              <w:t>与生态红线符合性分析</w:t>
            </w:r>
          </w:p>
          <w:p>
            <w:pPr>
              <w:widowControl/>
              <w:adjustRightInd w:val="0"/>
              <w:snapToGrid w:val="0"/>
              <w:spacing w:line="360" w:lineRule="auto"/>
              <w:ind w:firstLine="480" w:firstLineChars="200"/>
              <w:jc w:val="left"/>
              <w:textAlignment w:val="center"/>
              <w:rPr>
                <w:rFonts w:hint="default" w:ascii="Times New Roman" w:hAnsi="Times New Roman" w:cs="Times New Roman"/>
                <w:color w:val="auto"/>
                <w:sz w:val="24"/>
              </w:rPr>
            </w:pPr>
            <w:r>
              <w:rPr>
                <w:rFonts w:hint="default" w:ascii="Times New Roman" w:hAnsi="Times New Roman" w:cs="Times New Roman"/>
                <w:color w:val="auto"/>
                <w:sz w:val="24"/>
              </w:rPr>
              <w:t>根据《山东省生态保护红线规划（2016-2020年）》及其登记表可知，</w:t>
            </w:r>
            <w:r>
              <w:rPr>
                <w:rFonts w:hint="default" w:ascii="Times New Roman" w:hAnsi="Times New Roman" w:cs="Times New Roman"/>
                <w:color w:val="auto"/>
                <w:sz w:val="24"/>
                <w:lang w:eastAsia="zh-CN"/>
              </w:rPr>
              <w:t>鄄城县</w:t>
            </w:r>
            <w:r>
              <w:rPr>
                <w:rFonts w:hint="default" w:ascii="Times New Roman" w:hAnsi="Times New Roman" w:cs="Times New Roman"/>
                <w:color w:val="auto"/>
                <w:sz w:val="24"/>
              </w:rPr>
              <w:t>境内的生态保护红线区有3处，名称分别为</w:t>
            </w:r>
            <w:r>
              <w:rPr>
                <w:rFonts w:hint="default" w:ascii="Times New Roman" w:hAnsi="Times New Roman" w:cs="Times New Roman"/>
                <w:color w:val="auto"/>
                <w:sz w:val="24"/>
                <w:lang w:eastAsia="zh-CN"/>
              </w:rPr>
              <w:t>鄄城箕山河水源涵养生态保护红线区（</w:t>
            </w:r>
            <w:r>
              <w:rPr>
                <w:rFonts w:hint="default" w:ascii="Times New Roman" w:hAnsi="Times New Roman" w:cs="Times New Roman"/>
                <w:color w:val="auto"/>
                <w:sz w:val="24"/>
                <w:highlight w:val="none"/>
              </w:rPr>
              <w:t>SD-17-B1-</w:t>
            </w:r>
            <w:r>
              <w:rPr>
                <w:rFonts w:hint="default" w:ascii="Times New Roman" w:hAnsi="Times New Roman" w:cs="Times New Roman"/>
                <w:color w:val="auto"/>
                <w:sz w:val="24"/>
                <w:highlight w:val="none"/>
                <w:lang w:val="en-US" w:eastAsia="zh-CN"/>
              </w:rPr>
              <w:t>01</w:t>
            </w:r>
            <w:r>
              <w:rPr>
                <w:rFonts w:hint="default" w:ascii="Times New Roman" w:hAnsi="Times New Roman" w:cs="Times New Roman"/>
                <w:color w:val="auto"/>
                <w:sz w:val="24"/>
                <w:lang w:eastAsia="zh-CN"/>
              </w:rPr>
              <w:t>），菏泽电厂水库水源涵养生态保护红线区（</w:t>
            </w:r>
            <w:r>
              <w:rPr>
                <w:rFonts w:hint="default" w:ascii="Times New Roman" w:hAnsi="Times New Roman" w:cs="Times New Roman"/>
                <w:color w:val="auto"/>
                <w:sz w:val="24"/>
                <w:highlight w:val="none"/>
              </w:rPr>
              <w:t>SD-17-B1-</w:t>
            </w:r>
            <w:r>
              <w:rPr>
                <w:rFonts w:hint="default" w:ascii="Times New Roman" w:hAnsi="Times New Roman" w:cs="Times New Roman"/>
                <w:color w:val="auto"/>
                <w:sz w:val="24"/>
                <w:highlight w:val="none"/>
                <w:lang w:val="en-US" w:eastAsia="zh-CN"/>
              </w:rPr>
              <w:t>03</w:t>
            </w:r>
            <w:r>
              <w:rPr>
                <w:rFonts w:hint="default" w:ascii="Times New Roman" w:hAnsi="Times New Roman" w:cs="Times New Roman"/>
                <w:color w:val="auto"/>
                <w:sz w:val="24"/>
                <w:lang w:eastAsia="zh-CN"/>
              </w:rPr>
              <w:t>），黄河干流水源涵养生态保护红线区（</w:t>
            </w:r>
            <w:r>
              <w:rPr>
                <w:rFonts w:hint="default" w:ascii="Times New Roman" w:hAnsi="Times New Roman" w:cs="Times New Roman"/>
                <w:color w:val="auto"/>
                <w:sz w:val="24"/>
                <w:highlight w:val="none"/>
              </w:rPr>
              <w:t>SD-17-B1-</w:t>
            </w:r>
            <w:r>
              <w:rPr>
                <w:rFonts w:hint="default" w:ascii="Times New Roman" w:hAnsi="Times New Roman" w:cs="Times New Roman"/>
                <w:color w:val="auto"/>
                <w:sz w:val="24"/>
                <w:highlight w:val="none"/>
                <w:lang w:val="en-US" w:eastAsia="zh-CN"/>
              </w:rPr>
              <w:t>05</w:t>
            </w:r>
            <w:r>
              <w:rPr>
                <w:rFonts w:hint="default" w:ascii="Times New Roman" w:hAnsi="Times New Roman" w:cs="Times New Roman"/>
                <w:color w:val="auto"/>
                <w:sz w:val="24"/>
                <w:lang w:eastAsia="zh-CN"/>
              </w:rPr>
              <w:t>）</w:t>
            </w:r>
            <w:r>
              <w:rPr>
                <w:rFonts w:hint="default" w:ascii="Times New Roman" w:hAnsi="Times New Roman" w:cs="Times New Roman"/>
                <w:color w:val="auto"/>
                <w:sz w:val="24"/>
                <w:highlight w:val="none"/>
              </w:rPr>
              <w:t>，菏泽市省级生态保护红线图（详见附图5）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本项目位于</w:t>
            </w:r>
            <w:r>
              <w:rPr>
                <w:rFonts w:hint="default" w:ascii="Times New Roman" w:hAnsi="Times New Roman" w:cs="Times New Roman"/>
                <w:color w:val="auto"/>
                <w:sz w:val="24"/>
                <w:highlight w:val="none"/>
                <w:lang w:eastAsia="zh-CN"/>
              </w:rPr>
              <w:t>鄄城箕山河水源涵养生态保护红线区（</w:t>
            </w:r>
            <w:r>
              <w:rPr>
                <w:rFonts w:hint="default" w:ascii="Times New Roman" w:hAnsi="Times New Roman" w:cs="Times New Roman"/>
                <w:color w:val="auto"/>
                <w:sz w:val="24"/>
                <w:highlight w:val="none"/>
              </w:rPr>
              <w:t>SD-17-B1-</w:t>
            </w:r>
            <w:r>
              <w:rPr>
                <w:rFonts w:hint="default" w:ascii="Times New Roman" w:hAnsi="Times New Roman" w:cs="Times New Roman"/>
                <w:color w:val="auto"/>
                <w:sz w:val="24"/>
                <w:highlight w:val="none"/>
                <w:lang w:val="en-US" w:eastAsia="zh-CN"/>
              </w:rPr>
              <w:t>01</w:t>
            </w:r>
            <w:r>
              <w:rPr>
                <w:rFonts w:hint="default" w:ascii="Times New Roman" w:hAnsi="Times New Roman" w:cs="Times New Roman"/>
                <w:color w:val="auto"/>
                <w:sz w:val="24"/>
                <w:highlight w:val="none"/>
                <w:lang w:eastAsia="zh-CN"/>
              </w:rPr>
              <w:t>）西</w:t>
            </w:r>
            <w:r>
              <w:rPr>
                <w:rFonts w:hint="default" w:ascii="Times New Roman" w:hAnsi="Times New Roman" w:cs="Times New Roman"/>
                <w:color w:val="auto"/>
                <w:sz w:val="24"/>
                <w:highlight w:val="none"/>
                <w:lang w:val="en-US" w:eastAsia="zh-CN"/>
              </w:rPr>
              <w:t>2km</w:t>
            </w:r>
            <w:r>
              <w:rPr>
                <w:rFonts w:hint="default" w:ascii="Times New Roman" w:hAnsi="Times New Roman" w:cs="Times New Roman"/>
                <w:color w:val="auto"/>
                <w:sz w:val="24"/>
                <w:highlight w:val="none"/>
              </w:rPr>
              <w:t>，位于</w:t>
            </w:r>
            <w:r>
              <w:rPr>
                <w:rFonts w:hint="default" w:ascii="Times New Roman" w:hAnsi="Times New Roman" w:cs="Times New Roman"/>
                <w:color w:val="auto"/>
                <w:sz w:val="24"/>
                <w:highlight w:val="none"/>
                <w:lang w:eastAsia="zh-CN"/>
              </w:rPr>
              <w:t>菏泽电厂水库水源涵养生态保护红线区（</w:t>
            </w:r>
            <w:r>
              <w:rPr>
                <w:rFonts w:hint="default" w:ascii="Times New Roman" w:hAnsi="Times New Roman" w:cs="Times New Roman"/>
                <w:color w:val="auto"/>
                <w:sz w:val="24"/>
                <w:highlight w:val="none"/>
              </w:rPr>
              <w:t>SD-17-B1-</w:t>
            </w:r>
            <w:r>
              <w:rPr>
                <w:rFonts w:hint="default" w:ascii="Times New Roman" w:hAnsi="Times New Roman" w:cs="Times New Roman"/>
                <w:color w:val="auto"/>
                <w:sz w:val="24"/>
                <w:highlight w:val="none"/>
                <w:lang w:val="en-US" w:eastAsia="zh-CN"/>
              </w:rPr>
              <w:t>03）</w:t>
            </w:r>
            <w:r>
              <w:rPr>
                <w:rFonts w:hint="default" w:ascii="Times New Roman" w:hAnsi="Times New Roman" w:cs="Times New Roman"/>
                <w:color w:val="auto"/>
                <w:sz w:val="24"/>
                <w:highlight w:val="none"/>
                <w:lang w:eastAsia="zh-CN"/>
              </w:rPr>
              <w:t>北</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km，位于</w:t>
            </w:r>
            <w:r>
              <w:rPr>
                <w:rFonts w:hint="default" w:ascii="Times New Roman" w:hAnsi="Times New Roman" w:cs="Times New Roman"/>
                <w:color w:val="auto"/>
                <w:sz w:val="24"/>
                <w:highlight w:val="none"/>
                <w:lang w:eastAsia="zh-CN"/>
              </w:rPr>
              <w:t>黄河干流水源涵养生态保护红线区（</w:t>
            </w:r>
            <w:r>
              <w:rPr>
                <w:rFonts w:hint="default" w:ascii="Times New Roman" w:hAnsi="Times New Roman" w:cs="Times New Roman"/>
                <w:color w:val="auto"/>
                <w:sz w:val="24"/>
                <w:highlight w:val="none"/>
              </w:rPr>
              <w:t>SD-17-B1-</w:t>
            </w:r>
            <w:r>
              <w:rPr>
                <w:rFonts w:hint="default"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lang w:eastAsia="zh-CN"/>
              </w:rPr>
              <w:t>）东</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km，项目不在其生态保护</w:t>
            </w:r>
            <w:r>
              <w:rPr>
                <w:rFonts w:hint="default" w:ascii="Times New Roman" w:hAnsi="Times New Roman" w:cs="Times New Roman"/>
                <w:color w:val="auto"/>
                <w:sz w:val="24"/>
              </w:rPr>
              <w:t>红线区范围内。</w:t>
            </w:r>
          </w:p>
          <w:p>
            <w:pPr>
              <w:widowControl/>
              <w:adjustRightInd w:val="0"/>
              <w:snapToGrid w:val="0"/>
              <w:spacing w:line="360" w:lineRule="auto"/>
              <w:ind w:firstLine="480" w:firstLineChars="200"/>
              <w:jc w:val="left"/>
              <w:textAlignment w:val="center"/>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lang w:val="en-US" w:eastAsia="zh-CN"/>
              </w:rPr>
              <w:t>2.5</w:t>
            </w:r>
            <w:r>
              <w:rPr>
                <w:rFonts w:hint="default" w:ascii="Times New Roman" w:hAnsi="Times New Roman" w:cs="Times New Roman"/>
                <w:b/>
                <w:color w:val="auto"/>
                <w:sz w:val="24"/>
                <w:szCs w:val="24"/>
              </w:rPr>
              <w:t>与环保部环评[2016]150号文的符合性分析</w:t>
            </w:r>
          </w:p>
          <w:p>
            <w:pPr>
              <w:widowControl/>
              <w:adjustRightInd w:val="0"/>
              <w:snapToGrid w:val="0"/>
              <w:spacing w:line="360" w:lineRule="auto"/>
              <w:ind w:firstLine="480" w:firstLineChars="200"/>
              <w:jc w:val="left"/>
              <w:textAlignment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本项目</w:t>
            </w:r>
            <w:r>
              <w:rPr>
                <w:rFonts w:hint="default" w:ascii="Times New Roman" w:hAnsi="Times New Roman" w:cs="Times New Roman"/>
                <w:color w:val="auto"/>
                <w:sz w:val="24"/>
                <w:szCs w:val="24"/>
              </w:rPr>
              <w:t>布局选址合理，通过分析，不会对周边空气环境、水环境及声环境造成明显影响，并对可能出现的环境影响提出了相应的环保措施，符合环境保护法律法规、产业政策、相关技术规范及环境保护部和省环保厅的有关要求。</w:t>
            </w:r>
          </w:p>
          <w:p>
            <w:pPr>
              <w:adjustRightInd w:val="0"/>
              <w:snapToGrid w:val="0"/>
              <w:spacing w:line="360" w:lineRule="auto"/>
              <w:ind w:firstLine="480" w:firstLineChars="200"/>
              <w:jc w:val="both"/>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综上，项目的建设符合有关法律法规的要求及当地环保部门的要求，故</w:t>
            </w:r>
            <w:r>
              <w:rPr>
                <w:rFonts w:hint="default" w:ascii="Times New Roman" w:hAnsi="Times New Roman" w:cs="Times New Roman"/>
                <w:color w:val="auto"/>
                <w:kern w:val="0"/>
                <w:sz w:val="24"/>
                <w:szCs w:val="24"/>
              </w:rPr>
              <w:t>本项目建设符合国家产业政策。</w:t>
            </w:r>
          </w:p>
          <w:p>
            <w:pPr>
              <w:snapToGrid w:val="0"/>
              <w:spacing w:line="360" w:lineRule="auto"/>
              <w:ind w:firstLine="480"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项目区环境质量现状</w:t>
            </w:r>
          </w:p>
          <w:p>
            <w:pPr>
              <w:pStyle w:val="127"/>
              <w:ind w:firstLine="482"/>
              <w:jc w:val="both"/>
              <w:rPr>
                <w:rFonts w:hint="default" w:ascii="Times New Roman" w:hAnsi="Times New Roman" w:cs="Times New Roman"/>
                <w:b/>
                <w:bCs/>
                <w:color w:val="auto"/>
              </w:rPr>
            </w:pPr>
            <w:r>
              <w:rPr>
                <w:rFonts w:hint="default" w:ascii="Times New Roman" w:hAnsi="Times New Roman" w:cs="Times New Roman"/>
                <w:b/>
                <w:bCs/>
                <w:color w:val="auto"/>
              </w:rPr>
              <w:t>3.1环境空气质量：</w:t>
            </w:r>
          </w:p>
          <w:p>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本项目所在区域为二类功能区，区域空气质量执行</w:t>
            </w:r>
            <w:r>
              <w:rPr>
                <w:rFonts w:hint="default" w:ascii="Times New Roman" w:hAnsi="Times New Roman" w:eastAsia="宋体" w:cs="Times New Roman"/>
                <w:color w:val="auto"/>
                <w:kern w:val="0"/>
                <w:sz w:val="24"/>
              </w:rPr>
              <w:t>《环境空气质量标准》（GB3095-2012）中的二级标准</w:t>
            </w:r>
            <w:r>
              <w:rPr>
                <w:rFonts w:hint="default" w:ascii="Times New Roman" w:hAnsi="Times New Roman" w:eastAsia="宋体" w:cs="Times New Roman"/>
                <w:color w:val="auto"/>
                <w:kern w:val="20"/>
                <w:sz w:val="24"/>
              </w:rPr>
              <w:t>。</w:t>
            </w:r>
            <w:r>
              <w:rPr>
                <w:rFonts w:hint="default" w:ascii="Times New Roman" w:hAnsi="Times New Roman" w:eastAsia="宋体" w:cs="Times New Roman"/>
                <w:color w:val="auto"/>
                <w:sz w:val="24"/>
              </w:rPr>
              <w:t>根据《</w:t>
            </w:r>
            <w:r>
              <w:rPr>
                <w:rFonts w:hint="eastAsia" w:ascii="Times New Roman" w:hAnsi="Times New Roman" w:eastAsia="宋体" w:cs="Times New Roman"/>
                <w:color w:val="auto"/>
                <w:sz w:val="24"/>
                <w:lang w:eastAsia="zh-CN"/>
              </w:rPr>
              <w:t>山东省城市环境空气质量信息发布</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鄄城古泉办事处</w:t>
            </w:r>
            <w:r>
              <w:rPr>
                <w:rFonts w:hint="eastAsia" w:ascii="Times New Roman" w:hAnsi="Times New Roman" w:eastAsia="宋体" w:cs="Times New Roman"/>
                <w:color w:val="auto"/>
                <w:sz w:val="24"/>
                <w:lang w:val="en-US" w:eastAsia="zh-CN"/>
              </w:rPr>
              <w:t>2019年10月25日监测数据</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rPr>
              <w:t>、SO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可以满足《环境空气质量标准》（GB3095-2012）二级标准。</w:t>
            </w:r>
          </w:p>
          <w:p>
            <w:pPr>
              <w:adjustRightInd w:val="0"/>
              <w:snapToGrid w:val="0"/>
              <w:spacing w:line="360" w:lineRule="auto"/>
              <w:ind w:firstLine="480"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3.2地表水环境质量</w:t>
            </w:r>
          </w:p>
          <w:p>
            <w:pPr>
              <w:keepNext w:val="0"/>
              <w:keepLines w:val="0"/>
              <w:pageBreakBefore w:val="0"/>
              <w:widowControl w:val="0"/>
              <w:kinsoku/>
              <w:wordWrap/>
              <w:overflowPunct/>
              <w:topLinePunct w:val="0"/>
              <w:autoSpaceDE/>
              <w:autoSpaceDN/>
              <w:bidi w:val="0"/>
              <w:adjustRightInd/>
              <w:snapToGrid/>
              <w:spacing w:before="205" w:beforeLines="50" w:line="360" w:lineRule="auto"/>
              <w:ind w:firstLine="480" w:firstLineChars="200"/>
              <w:jc w:val="both"/>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color w:val="auto"/>
                <w:sz w:val="24"/>
              </w:rPr>
              <w:t>根据现场勘查，</w:t>
            </w:r>
            <w:r>
              <w:rPr>
                <w:rFonts w:hint="default" w:ascii="Times New Roman" w:hAnsi="Times New Roman" w:cs="Times New Roman"/>
                <w:color w:val="auto"/>
                <w:sz w:val="24"/>
                <w:lang w:eastAsia="zh-CN"/>
              </w:rPr>
              <w:t>鄄城县城区主要纳污水体为箕山河，</w:t>
            </w:r>
            <w:r>
              <w:rPr>
                <w:rFonts w:hint="eastAsia" w:ascii="Times New Roman" w:hAnsi="Times New Roman" w:cs="Times New Roman"/>
                <w:color w:val="auto"/>
                <w:sz w:val="24"/>
                <w:lang w:eastAsia="zh-CN"/>
              </w:rPr>
              <w:t>箕山河为洙赵新河水系，根据省控地表水水质状况</w:t>
            </w:r>
            <w:r>
              <w:rPr>
                <w:rFonts w:hint="eastAsia" w:ascii="Times New Roman" w:hAnsi="Times New Roman" w:cs="Times New Roman"/>
                <w:color w:val="auto"/>
                <w:sz w:val="24"/>
                <w:lang w:val="en-US" w:eastAsia="zh-CN"/>
              </w:rPr>
              <w:t>2019年9月份发布，洙赵新河水质为</w:t>
            </w:r>
            <w:r>
              <w:rPr>
                <w:rFonts w:hint="eastAsia" w:ascii="宋体" w:hAnsi="宋体" w:eastAsia="宋体" w:cs="宋体"/>
                <w:color w:val="auto"/>
                <w:sz w:val="24"/>
                <w:lang w:val="en-US" w:eastAsia="zh-CN"/>
              </w:rPr>
              <w:t>Ⅳ</w:t>
            </w:r>
            <w:r>
              <w:rPr>
                <w:rFonts w:hint="eastAsia" w:ascii="Times New Roman" w:hAnsi="Times New Roman" w:cs="Times New Roman"/>
                <w:color w:val="auto"/>
                <w:sz w:val="24"/>
                <w:lang w:val="en-US" w:eastAsia="zh-CN"/>
              </w:rPr>
              <w:t>类，不能够满足</w:t>
            </w:r>
            <w:r>
              <w:rPr>
                <w:rFonts w:hint="default" w:ascii="Times New Roman" w:hAnsi="Times New Roman" w:cs="Times New Roman"/>
                <w:b w:val="0"/>
                <w:bCs w:val="0"/>
                <w:color w:val="auto"/>
                <w:sz w:val="24"/>
                <w:szCs w:val="24"/>
                <w:highlight w:val="none"/>
                <w:lang w:val="en-US" w:eastAsia="zh-CN"/>
              </w:rPr>
              <w:t>《地表水环境质量标准》（GB3838-2002）Ⅲ类标准要求，BOD和NH</w:t>
            </w:r>
            <w:r>
              <w:rPr>
                <w:rFonts w:hint="default" w:ascii="Times New Roman" w:hAnsi="Times New Roman" w:cs="Times New Roman"/>
                <w:b w:val="0"/>
                <w:bCs w:val="0"/>
                <w:color w:val="auto"/>
                <w:sz w:val="24"/>
                <w:szCs w:val="24"/>
                <w:highlight w:val="none"/>
                <w:vertAlign w:val="subscript"/>
                <w:lang w:val="en-US" w:eastAsia="zh-CN"/>
              </w:rPr>
              <w:t>3</w:t>
            </w:r>
            <w:r>
              <w:rPr>
                <w:rFonts w:hint="default" w:ascii="Times New Roman" w:hAnsi="Times New Roman" w:cs="Times New Roman"/>
                <w:b w:val="0"/>
                <w:bCs w:val="0"/>
                <w:color w:val="auto"/>
                <w:sz w:val="24"/>
                <w:szCs w:val="24"/>
                <w:highlight w:val="none"/>
                <w:lang w:val="en-US" w:eastAsia="zh-CN"/>
              </w:rPr>
              <w:t>-N存在一定程度的超标，总体呈有机污染，</w:t>
            </w:r>
            <w:r>
              <w:rPr>
                <w:rFonts w:hint="default" w:ascii="Times New Roman" w:hAnsi="Times New Roman" w:cs="Times New Roman"/>
                <w:color w:val="000000"/>
                <w:sz w:val="24"/>
              </w:rPr>
              <w:t>其主要是因为</w:t>
            </w:r>
            <w:r>
              <w:rPr>
                <w:rFonts w:hint="default" w:ascii="Times New Roman" w:hAnsi="Times New Roman" w:cs="Times New Roman"/>
                <w:color w:val="000000"/>
                <w:sz w:val="24"/>
                <w:lang w:eastAsia="zh-CN"/>
              </w:rPr>
              <w:t>汇入较多工业排水</w:t>
            </w:r>
            <w:r>
              <w:rPr>
                <w:rFonts w:hint="default" w:ascii="Times New Roman" w:hAnsi="Times New Roman" w:cs="Times New Roman"/>
                <w:color w:val="auto"/>
                <w:sz w:val="24"/>
                <w:szCs w:val="24"/>
              </w:rPr>
              <w:t>。</w:t>
            </w:r>
          </w:p>
          <w:p>
            <w:pPr>
              <w:adjustRightInd w:val="0"/>
              <w:snapToGrid w:val="0"/>
              <w:spacing w:line="360" w:lineRule="auto"/>
              <w:ind w:firstLine="480" w:firstLineChars="200"/>
              <w:jc w:val="both"/>
              <w:rPr>
                <w:rFonts w:hint="default" w:ascii="Times New Roman" w:hAnsi="Times New Roman" w:cs="Times New Roman"/>
                <w:color w:val="auto"/>
                <w:sz w:val="24"/>
                <w:highlight w:val="yellow"/>
              </w:rPr>
            </w:pPr>
            <w:r>
              <w:rPr>
                <w:rFonts w:hint="default" w:ascii="Times New Roman" w:hAnsi="Times New Roman" w:cs="Times New Roman"/>
                <w:color w:val="auto"/>
                <w:sz w:val="24"/>
                <w:szCs w:val="24"/>
                <w:highlight w:val="none"/>
                <w:vertAlign w:val="baseline"/>
                <w:lang w:val="en-US" w:eastAsia="zh-CN"/>
              </w:rPr>
              <w:t>本项目</w:t>
            </w:r>
            <w:r>
              <w:rPr>
                <w:rFonts w:hint="default" w:ascii="Times New Roman" w:hAnsi="Times New Roman" w:cs="Times New Roman"/>
                <w:color w:val="auto"/>
                <w:sz w:val="24"/>
                <w:szCs w:val="24"/>
                <w:highlight w:val="none"/>
                <w:lang w:val="en-US" w:eastAsia="zh-CN"/>
              </w:rPr>
              <w:t>生活污水经化粪池处理后与生产废水经厂区污水处理站预处理后一起排入</w:t>
            </w:r>
            <w:r>
              <w:rPr>
                <w:rFonts w:hint="default" w:ascii="Times New Roman" w:hAnsi="Times New Roman" w:cs="Times New Roman"/>
                <w:color w:val="auto"/>
                <w:sz w:val="24"/>
                <w:szCs w:val="24"/>
                <w:highlight w:val="none"/>
                <w:lang w:eastAsia="zh-CN"/>
              </w:rPr>
              <w:t>鄄城县第二人发产业中心污水处理厂进行处理，经鄄城县第二人发产业中心污水处理厂处理后排入鄄城县经济开发区污水处理厂进一步处理，处理达标后排入箕山河。本项目废水不直接向地表水排放，</w:t>
            </w:r>
            <w:r>
              <w:rPr>
                <w:rFonts w:hint="default" w:ascii="Times New Roman" w:hAnsi="Times New Roman" w:cs="Times New Roman"/>
                <w:color w:val="auto"/>
                <w:sz w:val="24"/>
                <w:highlight w:val="none"/>
              </w:rPr>
              <w:t>不会对周围地表水体造成</w:t>
            </w:r>
            <w:r>
              <w:rPr>
                <w:rFonts w:hint="default" w:ascii="Times New Roman" w:hAnsi="Times New Roman" w:cs="Times New Roman"/>
                <w:color w:val="auto"/>
                <w:sz w:val="24"/>
                <w:highlight w:val="none"/>
                <w:lang w:eastAsia="zh-CN"/>
              </w:rPr>
              <w:t>明显</w:t>
            </w:r>
            <w:r>
              <w:rPr>
                <w:rFonts w:hint="default" w:ascii="Times New Roman" w:hAnsi="Times New Roman" w:cs="Times New Roman"/>
                <w:color w:val="auto"/>
                <w:sz w:val="24"/>
                <w:highlight w:val="none"/>
              </w:rPr>
              <w:t>影响。</w:t>
            </w:r>
          </w:p>
          <w:p>
            <w:pPr>
              <w:adjustRightInd w:val="0"/>
              <w:snapToGrid w:val="0"/>
              <w:spacing w:line="360" w:lineRule="auto"/>
              <w:ind w:firstLine="480"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3.3地下水环境质量</w:t>
            </w:r>
          </w:p>
          <w:p>
            <w:pPr>
              <w:pStyle w:val="128"/>
              <w:spacing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z w:val="24"/>
              </w:rPr>
              <w:t>根据调查项目区域周边地下水历史监测数据，</w:t>
            </w:r>
            <w:r>
              <w:rPr>
                <w:rFonts w:hint="default" w:ascii="Times New Roman" w:hAnsi="Times New Roman" w:eastAsia="宋体" w:cs="Times New Roman"/>
                <w:color w:val="auto"/>
                <w:kern w:val="2"/>
                <w:sz w:val="24"/>
                <w:szCs w:val="24"/>
              </w:rPr>
              <w:t>周围地下水pH、高锰酸钾指数、氯化物、总硬度、硫酸盐等项均达到《地下水质量标准》（GB/T14848-2017）中Ⅲ类标准，地下水环境质量较好。</w:t>
            </w:r>
          </w:p>
          <w:p>
            <w:pPr>
              <w:adjustRightInd w:val="0"/>
              <w:snapToGrid w:val="0"/>
              <w:spacing w:line="360" w:lineRule="auto"/>
              <w:ind w:firstLine="480"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3.4声环境：</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szCs w:val="24"/>
              </w:rPr>
              <w:t>本项目所在区域为3类功能区，厂界声环境执行《声环境质量标准》（GB3096-2008）3类标准。</w:t>
            </w:r>
            <w:r>
              <w:rPr>
                <w:rFonts w:hint="default" w:ascii="Times New Roman" w:hAnsi="Times New Roman" w:cs="Times New Roman"/>
                <w:color w:val="auto"/>
                <w:kern w:val="0"/>
                <w:sz w:val="24"/>
                <w:szCs w:val="24"/>
              </w:rPr>
              <w:t>由现场勘察可知，项目所在区域总体声环境质量相对较好，项目厂界声环境质量能达到《声环境质量标准》3类标准（即昼间≤65dB（A），夜间≤55dB（A））</w:t>
            </w:r>
            <w:r>
              <w:rPr>
                <w:rFonts w:hint="default" w:ascii="Times New Roman" w:hAnsi="Times New Roman" w:cs="Times New Roman"/>
                <w:color w:val="auto"/>
                <w:sz w:val="24"/>
              </w:rPr>
              <w:t>。</w:t>
            </w:r>
          </w:p>
          <w:p>
            <w:pPr>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运营期环境影响分析</w:t>
            </w:r>
          </w:p>
          <w:p>
            <w:pPr>
              <w:tabs>
                <w:tab w:val="left" w:pos="900"/>
              </w:tabs>
              <w:spacing w:line="360" w:lineRule="auto"/>
              <w:ind w:firstLine="456" w:firstLineChars="200"/>
              <w:jc w:val="both"/>
              <w:rPr>
                <w:rFonts w:hint="default" w:ascii="Times New Roman" w:hAnsi="Times New Roman" w:cs="Times New Roman"/>
                <w:b/>
                <w:bCs/>
                <w:color w:val="auto"/>
                <w:spacing w:val="-6"/>
                <w:sz w:val="24"/>
                <w:szCs w:val="24"/>
              </w:rPr>
            </w:pPr>
            <w:r>
              <w:rPr>
                <w:rFonts w:hint="default" w:ascii="Times New Roman" w:hAnsi="Times New Roman" w:cs="Times New Roman"/>
                <w:b/>
                <w:bCs/>
                <w:color w:val="auto"/>
                <w:spacing w:val="-6"/>
                <w:sz w:val="24"/>
                <w:szCs w:val="24"/>
              </w:rPr>
              <w:t>4.1大气污染物达标排放</w:t>
            </w:r>
          </w:p>
          <w:p>
            <w:pPr>
              <w:numPr>
                <w:ilvl w:val="0"/>
                <w:numId w:val="0"/>
              </w:numPr>
              <w:spacing w:line="360" w:lineRule="auto"/>
              <w:ind w:firstLine="480"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4.1.1</w:t>
            </w:r>
            <w:r>
              <w:rPr>
                <w:rFonts w:hint="default" w:ascii="Times New Roman" w:hAnsi="Times New Roman" w:cs="Times New Roman"/>
                <w:b/>
                <w:bCs/>
                <w:color w:val="auto"/>
                <w:sz w:val="24"/>
                <w:szCs w:val="24"/>
              </w:rPr>
              <w:t>有组织废气</w:t>
            </w:r>
          </w:p>
          <w:p>
            <w:pPr>
              <w:pStyle w:val="2"/>
              <w:spacing w:after="0"/>
              <w:ind w:left="0" w:leftChars="0" w:firstLine="456"/>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本项目废气主要为</w:t>
            </w:r>
            <w:r>
              <w:rPr>
                <w:rFonts w:hint="default" w:ascii="Times New Roman" w:hAnsi="Times New Roman" w:cs="Times New Roman"/>
                <w:color w:val="auto"/>
                <w:sz w:val="24"/>
                <w:szCs w:val="24"/>
                <w:lang w:eastAsia="zh-CN"/>
              </w:rPr>
              <w:t>硫酸配酸、酸洗产生的硫酸酸雾、人发中和处理产生的含氨废气</w:t>
            </w:r>
            <w:r>
              <w:rPr>
                <w:rFonts w:hint="default" w:ascii="Times New Roman" w:hAnsi="Times New Roman" w:cs="Times New Roman"/>
                <w:color w:val="auto"/>
                <w:sz w:val="24"/>
                <w:szCs w:val="24"/>
              </w:rPr>
              <w:t>。</w:t>
            </w:r>
          </w:p>
          <w:p>
            <w:pPr>
              <w:adjustRightInd w:val="0"/>
              <w:snapToGrid w:val="0"/>
              <w:spacing w:line="360" w:lineRule="auto"/>
              <w:ind w:firstLine="480" w:firstLineChars="200"/>
              <w:jc w:val="both"/>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生产车间</w:t>
            </w:r>
            <w:r>
              <w:rPr>
                <w:rFonts w:hint="default" w:ascii="Times New Roman" w:hAnsi="Times New Roman" w:cs="Times New Roman"/>
                <w:color w:val="auto"/>
                <w:kern w:val="0"/>
                <w:sz w:val="24"/>
                <w:szCs w:val="24"/>
                <w:lang w:val="en-US" w:eastAsia="zh-CN"/>
              </w:rPr>
              <w:t>配酸</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酸洗浸泡工段产生硫酸雾</w:t>
            </w:r>
            <w:r>
              <w:rPr>
                <w:rFonts w:hint="eastAsia" w:ascii="Times New Roman" w:hAnsi="Times New Roman" w:cs="Times New Roman"/>
                <w:color w:val="auto"/>
                <w:kern w:val="0"/>
                <w:sz w:val="24"/>
                <w:szCs w:val="24"/>
                <w:lang w:val="en-US" w:eastAsia="zh-CN"/>
              </w:rPr>
              <w:t>均</w:t>
            </w:r>
            <w:r>
              <w:rPr>
                <w:rFonts w:hint="default" w:ascii="Times New Roman" w:hAnsi="Times New Roman" w:cs="Times New Roman"/>
                <w:color w:val="auto"/>
                <w:kern w:val="0"/>
                <w:sz w:val="24"/>
                <w:szCs w:val="24"/>
                <w:lang w:val="en-US" w:eastAsia="zh-CN"/>
              </w:rPr>
              <w:t>经水浴锅上集气罩收集后引入</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碱液喷淋塔</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进行吸收处理，引风机风量为5000m3/h，装置收集率不低于90%，去除率不低于90%，处理后的废气</w:t>
            </w:r>
            <w:r>
              <w:rPr>
                <w:rFonts w:hint="eastAsia" w:ascii="Times New Roman" w:hAnsi="Times New Roman" w:cs="Times New Roman"/>
                <w:color w:val="auto"/>
                <w:kern w:val="0"/>
                <w:sz w:val="24"/>
                <w:szCs w:val="24"/>
                <w:lang w:val="en-US" w:eastAsia="zh-CN"/>
              </w:rPr>
              <w:t>由车间</w:t>
            </w:r>
            <w:r>
              <w:rPr>
                <w:rFonts w:hint="default" w:ascii="Times New Roman" w:hAnsi="Times New Roman" w:cs="Times New Roman"/>
                <w:color w:val="auto"/>
                <w:kern w:val="0"/>
                <w:sz w:val="24"/>
                <w:szCs w:val="24"/>
                <w:lang w:val="en-US" w:eastAsia="zh-CN"/>
              </w:rPr>
              <w:t>15m高排气筒P1</w:t>
            </w:r>
            <w:r>
              <w:rPr>
                <w:rFonts w:hint="eastAsia" w:ascii="Times New Roman" w:hAnsi="Times New Roman" w:cs="Times New Roman"/>
                <w:color w:val="auto"/>
                <w:kern w:val="0"/>
                <w:sz w:val="24"/>
                <w:szCs w:val="24"/>
                <w:lang w:val="en-US" w:eastAsia="zh-CN"/>
              </w:rPr>
              <w:t>排放</w:t>
            </w:r>
            <w:r>
              <w:rPr>
                <w:rFonts w:hint="default" w:ascii="Times New Roman" w:hAnsi="Times New Roman" w:cs="Times New Roman"/>
                <w:color w:val="auto"/>
                <w:kern w:val="0"/>
                <w:sz w:val="24"/>
                <w:szCs w:val="24"/>
                <w:lang w:val="en-US" w:eastAsia="zh-CN"/>
              </w:rPr>
              <w:t>。</w:t>
            </w:r>
          </w:p>
          <w:p>
            <w:pPr>
              <w:adjustRightInd w:val="0"/>
              <w:snapToGrid w:val="0"/>
              <w:spacing w:line="360" w:lineRule="auto"/>
              <w:ind w:firstLine="480" w:firstLineChars="200"/>
              <w:jc w:val="both"/>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生产车间</w:t>
            </w:r>
            <w:r>
              <w:rPr>
                <w:rFonts w:hint="default" w:ascii="Times New Roman" w:hAnsi="Times New Roman" w:cs="Times New Roman"/>
                <w:color w:val="auto"/>
                <w:kern w:val="0"/>
                <w:sz w:val="24"/>
                <w:szCs w:val="24"/>
                <w:lang w:val="en-US" w:eastAsia="zh-CN"/>
              </w:rPr>
              <w:t>人发中和工段产生的含氨废气经水浴锅上集气罩收集后引入</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稀盐酸喷淋塔</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进行吸收处理，引风机风量为5000m3/h，装置收集率不低于90%，去除率不低于90%，处理后的废气</w:t>
            </w:r>
            <w:r>
              <w:rPr>
                <w:rFonts w:hint="eastAsia" w:ascii="Times New Roman" w:hAnsi="Times New Roman" w:cs="Times New Roman"/>
                <w:color w:val="auto"/>
                <w:kern w:val="0"/>
                <w:sz w:val="24"/>
                <w:szCs w:val="24"/>
                <w:lang w:val="en-US" w:eastAsia="zh-CN"/>
              </w:rPr>
              <w:t>分别由各个车间</w:t>
            </w:r>
            <w:r>
              <w:rPr>
                <w:rFonts w:hint="default" w:ascii="Times New Roman" w:hAnsi="Times New Roman" w:cs="Times New Roman"/>
                <w:color w:val="auto"/>
                <w:kern w:val="0"/>
                <w:sz w:val="24"/>
                <w:szCs w:val="24"/>
                <w:lang w:val="en-US" w:eastAsia="zh-CN"/>
              </w:rPr>
              <w:t>15m高排气筒P</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根据工程分析可知，有组织硫酸雾排放浓度与排放速率能够满足</w:t>
            </w:r>
            <w:r>
              <w:rPr>
                <w:rFonts w:hint="default" w:ascii="Times New Roman" w:hAnsi="Times New Roman" w:cs="Times New Roman"/>
                <w:color w:val="auto"/>
                <w:sz w:val="24"/>
                <w:szCs w:val="24"/>
              </w:rPr>
              <w:t>《大气污染物综合排放标准》（GB16297-1996）表2新污染源大气污染物排放限值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45</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val="en-US" w:eastAsia="zh-CN"/>
              </w:rPr>
              <w:t>1.5kg/h</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有组织含氨废气排放能够满足《恶臭污染物排放标准》（</w:t>
            </w:r>
            <w:r>
              <w:rPr>
                <w:rFonts w:hint="default" w:ascii="Times New Roman" w:hAnsi="Times New Roman" w:cs="Times New Roman"/>
                <w:color w:val="auto"/>
                <w:sz w:val="24"/>
                <w:szCs w:val="24"/>
              </w:rPr>
              <w:t>GB</w:t>
            </w:r>
            <w:r>
              <w:rPr>
                <w:rFonts w:hint="default" w:ascii="Times New Roman" w:hAnsi="Times New Roman" w:cs="Times New Roman"/>
                <w:color w:val="auto"/>
                <w:sz w:val="24"/>
                <w:szCs w:val="24"/>
                <w:lang w:val="en-US" w:eastAsia="zh-CN"/>
              </w:rPr>
              <w:t>14554-93</w:t>
            </w:r>
            <w:r>
              <w:rPr>
                <w:rFonts w:hint="default" w:ascii="Times New Roman" w:hAnsi="Times New Roman" w:cs="Times New Roman"/>
                <w:color w:val="auto"/>
                <w:sz w:val="24"/>
                <w:szCs w:val="24"/>
                <w:lang w:eastAsia="zh-CN"/>
              </w:rPr>
              <w:t>）二级新建标准（</w:t>
            </w:r>
            <w:r>
              <w:rPr>
                <w:rFonts w:hint="default" w:ascii="Times New Roman" w:hAnsi="Times New Roman" w:cs="Times New Roman"/>
                <w:color w:val="auto"/>
                <w:sz w:val="24"/>
                <w:szCs w:val="24"/>
                <w:lang w:val="en-US" w:eastAsia="zh-CN"/>
              </w:rPr>
              <w:t>15m高，4.9kg/h</w:t>
            </w:r>
            <w:r>
              <w:rPr>
                <w:rFonts w:hint="default" w:ascii="Times New Roman" w:hAnsi="Times New Roman" w:cs="Times New Roman"/>
                <w:color w:val="auto"/>
                <w:sz w:val="24"/>
                <w:szCs w:val="24"/>
                <w:lang w:eastAsia="zh-CN"/>
              </w:rPr>
              <w:t>）</w:t>
            </w:r>
          </w:p>
          <w:p>
            <w:pPr>
              <w:spacing w:line="360" w:lineRule="auto"/>
              <w:ind w:firstLine="480"/>
              <w:jc w:val="both"/>
              <w:rPr>
                <w:rFonts w:hint="default" w:ascii="Times New Roman" w:hAnsi="Times New Roman" w:cs="Times New Roman"/>
                <w:bCs/>
                <w:color w:val="auto"/>
                <w:sz w:val="24"/>
                <w:szCs w:val="24"/>
              </w:rPr>
            </w:pPr>
            <w:r>
              <w:rPr>
                <w:rFonts w:hint="default" w:ascii="Times New Roman" w:hAnsi="Times New Roman" w:cs="Times New Roman"/>
                <w:b/>
                <w:color w:val="auto"/>
                <w:sz w:val="24"/>
                <w:szCs w:val="24"/>
                <w:lang w:val="en-US" w:eastAsia="zh-CN"/>
              </w:rPr>
              <w:t>4.1.2</w:t>
            </w:r>
            <w:r>
              <w:rPr>
                <w:rFonts w:hint="default" w:ascii="Times New Roman" w:hAnsi="Times New Roman" w:cs="Times New Roman"/>
                <w:b/>
                <w:color w:val="auto"/>
                <w:sz w:val="24"/>
                <w:szCs w:val="24"/>
              </w:rPr>
              <w:t>无组织废气</w:t>
            </w:r>
          </w:p>
          <w:p>
            <w:p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未被收集的硫酸雾及含氨废气分别是</w:t>
            </w:r>
            <w:r>
              <w:rPr>
                <w:rFonts w:hint="default" w:ascii="Times New Roman" w:hAnsi="Times New Roman" w:cs="Times New Roman"/>
                <w:color w:val="auto"/>
                <w:sz w:val="24"/>
                <w:szCs w:val="24"/>
                <w:lang w:val="en-US" w:eastAsia="zh-CN"/>
              </w:rPr>
              <w:t>0.000</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5t/a、0.000</w:t>
            </w:r>
            <w:r>
              <w:rPr>
                <w:rFonts w:hint="eastAsia" w:ascii="Times New Roman" w:hAnsi="Times New Roman" w:cs="Times New Roman"/>
                <w:color w:val="auto"/>
                <w:sz w:val="24"/>
                <w:szCs w:val="24"/>
                <w:lang w:val="en-US" w:eastAsia="zh-CN"/>
              </w:rPr>
              <w:t>075</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4"/>
                <w:szCs w:val="24"/>
              </w:rPr>
              <w:t>本评价无组织厂界排放浓度按最大落地浓度计算，由表7-</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可知，厂界无组织</w:t>
            </w:r>
            <w:r>
              <w:rPr>
                <w:rFonts w:hint="default" w:ascii="Times New Roman" w:hAnsi="Times New Roman" w:cs="Times New Roman"/>
                <w:color w:val="auto"/>
                <w:sz w:val="24"/>
                <w:szCs w:val="24"/>
                <w:lang w:eastAsia="zh-CN"/>
              </w:rPr>
              <w:t>硫酸雾最大地面浓度为</w:t>
            </w:r>
            <w:r>
              <w:rPr>
                <w:rFonts w:hint="default" w:ascii="Times New Roman" w:hAnsi="Times New Roman" w:cs="Times New Roman"/>
                <w:color w:val="auto"/>
                <w:sz w:val="24"/>
                <w:szCs w:val="24"/>
                <w:lang w:val="en-US" w:eastAsia="zh-CN"/>
              </w:rPr>
              <w:t>0.000035</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满足《大气污染物综合排放标准》（GB16297-1996）中表2要求限值（1.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厂界无组织</w:t>
            </w:r>
            <w:r>
              <w:rPr>
                <w:rFonts w:hint="default" w:ascii="Times New Roman" w:hAnsi="Times New Roman" w:cs="Times New Roman"/>
                <w:color w:val="auto"/>
                <w:sz w:val="24"/>
                <w:szCs w:val="24"/>
                <w:highlight w:val="none"/>
                <w:lang w:eastAsia="zh-CN"/>
              </w:rPr>
              <w:t>含氨废气</w:t>
            </w:r>
            <w:r>
              <w:rPr>
                <w:rFonts w:hint="default" w:ascii="Times New Roman" w:hAnsi="Times New Roman" w:cs="Times New Roman"/>
                <w:color w:val="auto"/>
                <w:sz w:val="24"/>
                <w:szCs w:val="24"/>
                <w:lang w:eastAsia="zh-CN"/>
              </w:rPr>
              <w:t>最大地面浓度为</w:t>
            </w:r>
            <w:r>
              <w:rPr>
                <w:rFonts w:hint="default" w:ascii="Times New Roman" w:hAnsi="Times New Roman" w:cs="Times New Roman"/>
                <w:color w:val="auto"/>
                <w:sz w:val="24"/>
                <w:szCs w:val="24"/>
                <w:lang w:val="en-US" w:eastAsia="zh-CN"/>
              </w:rPr>
              <w:t>0.00032</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lang w:eastAsia="zh-CN"/>
              </w:rPr>
              <w:t>《恶臭污染物排放标准》（</w:t>
            </w:r>
            <w:r>
              <w:rPr>
                <w:rFonts w:hint="default" w:ascii="Times New Roman" w:hAnsi="Times New Roman" w:cs="Times New Roman"/>
                <w:color w:val="auto"/>
                <w:sz w:val="24"/>
                <w:szCs w:val="24"/>
              </w:rPr>
              <w:t>GB</w:t>
            </w:r>
            <w:r>
              <w:rPr>
                <w:rFonts w:hint="default" w:ascii="Times New Roman" w:hAnsi="Times New Roman" w:cs="Times New Roman"/>
                <w:color w:val="auto"/>
                <w:sz w:val="24"/>
                <w:szCs w:val="24"/>
                <w:lang w:val="en-US" w:eastAsia="zh-CN"/>
              </w:rPr>
              <w:t>14554-93</w:t>
            </w:r>
            <w:r>
              <w:rPr>
                <w:rFonts w:hint="default" w:ascii="Times New Roman" w:hAnsi="Times New Roman" w:cs="Times New Roman"/>
                <w:color w:val="auto"/>
                <w:sz w:val="24"/>
                <w:szCs w:val="24"/>
                <w:lang w:eastAsia="zh-CN"/>
              </w:rPr>
              <w:t>）二级新建标准</w:t>
            </w:r>
            <w:r>
              <w:rPr>
                <w:rFonts w:hint="default" w:ascii="Times New Roman" w:hAnsi="Times New Roman" w:cs="Times New Roman"/>
                <w:color w:val="auto"/>
                <w:sz w:val="24"/>
                <w:szCs w:val="24"/>
              </w:rPr>
              <w:t>无组织排放厂界监控点浓度限值(</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mg/m³)。</w:t>
            </w:r>
          </w:p>
          <w:p>
            <w:pPr>
              <w:pStyle w:val="5"/>
              <w:keepNext w:val="0"/>
              <w:keepLines w:val="0"/>
              <w:widowControl/>
              <w:wordWrap w:val="0"/>
              <w:spacing w:before="0" w:after="0" w:line="360" w:lineRule="auto"/>
              <w:ind w:firstLine="480" w:firstLineChars="200"/>
              <w:outlineLvl w:val="0"/>
              <w:rPr>
                <w:rFonts w:hint="default" w:ascii="Times New Roman" w:hAnsi="Times New Roman" w:cs="Times New Roman"/>
                <w:color w:val="auto"/>
                <w:sz w:val="24"/>
                <w:szCs w:val="24"/>
              </w:rPr>
            </w:pPr>
            <w:r>
              <w:rPr>
                <w:rFonts w:hint="default" w:ascii="Times New Roman" w:hAnsi="Times New Roman" w:cs="Times New Roman"/>
                <w:bCs w:val="0"/>
                <w:color w:val="auto"/>
                <w:kern w:val="2"/>
                <w:sz w:val="24"/>
                <w:szCs w:val="24"/>
                <w:lang w:val="en-US" w:eastAsia="zh-CN"/>
              </w:rPr>
              <w:t>4.1.3</w:t>
            </w:r>
            <w:r>
              <w:rPr>
                <w:rFonts w:hint="default" w:ascii="Times New Roman" w:hAnsi="Times New Roman" w:cs="Times New Roman"/>
                <w:color w:val="auto"/>
                <w:sz w:val="24"/>
                <w:szCs w:val="24"/>
              </w:rPr>
              <w:t>卫生防护距离</w:t>
            </w:r>
          </w:p>
          <w:p>
            <w:pPr>
              <w:autoSpaceDE w:val="0"/>
              <w:autoSpaceDN w:val="0"/>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bCs/>
                <w:color w:val="auto"/>
                <w:sz w:val="24"/>
                <w:szCs w:val="24"/>
              </w:rPr>
              <w:t>本项目卫生防护距离确定为：以</w:t>
            </w:r>
            <w:r>
              <w:rPr>
                <w:rFonts w:hint="default" w:ascii="Times New Roman" w:hAnsi="Times New Roman" w:cs="Times New Roman"/>
                <w:bCs/>
                <w:color w:val="auto"/>
                <w:sz w:val="24"/>
                <w:szCs w:val="24"/>
                <w:lang w:eastAsia="zh-CN"/>
              </w:rPr>
              <w:t>生产厂区</w:t>
            </w:r>
            <w:r>
              <w:rPr>
                <w:rFonts w:hint="default" w:ascii="Times New Roman" w:hAnsi="Times New Roman" w:cs="Times New Roman"/>
                <w:bCs/>
                <w:color w:val="auto"/>
                <w:sz w:val="24"/>
                <w:szCs w:val="24"/>
              </w:rPr>
              <w:t>边界外延100m</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rPr>
              <w:t>经调查，本项目卫生防护距离内均为企业用房，</w:t>
            </w:r>
            <w:r>
              <w:rPr>
                <w:rFonts w:hint="default" w:ascii="Times New Roman" w:hAnsi="Times New Roman" w:cs="Times New Roman"/>
                <w:color w:val="auto"/>
                <w:sz w:val="24"/>
                <w:szCs w:val="24"/>
              </w:rPr>
              <w:t>防护距离内无居民点、学校等环境敏感目标。</w:t>
            </w:r>
            <w:r>
              <w:rPr>
                <w:rFonts w:hint="default" w:ascii="Times New Roman" w:hAnsi="Times New Roman" w:cs="Times New Roman"/>
                <w:color w:val="auto"/>
                <w:sz w:val="24"/>
              </w:rPr>
              <w:t>评价要求在本项目卫生防护距离内不得新建医院、学校、居民住宅等环境敏感点。</w:t>
            </w:r>
          </w:p>
          <w:p>
            <w:pPr>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szCs w:val="24"/>
              </w:rPr>
              <w:t>根据以上大气环境影响分析可知，本项目</w:t>
            </w:r>
            <w:r>
              <w:rPr>
                <w:rFonts w:hint="default" w:ascii="Times New Roman" w:hAnsi="Times New Roman" w:cs="Times New Roman"/>
                <w:bCs/>
                <w:color w:val="auto"/>
                <w:sz w:val="24"/>
                <w:szCs w:val="24"/>
              </w:rPr>
              <w:t>有组织废气和无组织废气不会对区域大气环境造成影响，从大气环境影响方面考虑本项目可行</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4.2</w:t>
            </w:r>
            <w:r>
              <w:rPr>
                <w:rFonts w:hint="default" w:ascii="Times New Roman" w:hAnsi="Times New Roman" w:cs="Times New Roman"/>
                <w:b/>
                <w:color w:val="auto"/>
                <w:sz w:val="24"/>
                <w:szCs w:val="24"/>
              </w:rPr>
              <w:t>水环境影响分析</w:t>
            </w:r>
          </w:p>
          <w:p>
            <w:pPr>
              <w:numPr>
                <w:ilvl w:val="0"/>
                <w:numId w:val="3"/>
              </w:numPr>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地表水影响分析</w:t>
            </w:r>
          </w:p>
          <w:p>
            <w:pPr>
              <w:widowControl/>
              <w:adjustRightInd w:val="0"/>
              <w:snapToGrid w:val="0"/>
              <w:spacing w:line="360" w:lineRule="auto"/>
              <w:ind w:firstLine="480" w:firstLineChars="200"/>
              <w:jc w:val="left"/>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color w:val="auto"/>
                <w:sz w:val="24"/>
                <w:szCs w:val="22"/>
                <w:lang w:val="en-US" w:eastAsia="zh-CN"/>
              </w:rPr>
              <w:t>生活污水经化粪池处理后与生产废水</w:t>
            </w:r>
            <w:r>
              <w:rPr>
                <w:rFonts w:hint="eastAsia" w:ascii="Times New Roman" w:hAnsi="Times New Roman" w:cs="Times New Roman"/>
                <w:color w:val="auto"/>
                <w:sz w:val="24"/>
                <w:szCs w:val="22"/>
                <w:lang w:val="en-US" w:eastAsia="zh-CN"/>
              </w:rPr>
              <w:t>依托鄄城裕昌发制品有限公司</w:t>
            </w:r>
            <w:r>
              <w:rPr>
                <w:rFonts w:hint="default" w:ascii="Times New Roman" w:hAnsi="Times New Roman" w:cs="Times New Roman"/>
                <w:color w:val="auto"/>
                <w:sz w:val="24"/>
                <w:szCs w:val="22"/>
                <w:lang w:val="en-US" w:eastAsia="zh-CN"/>
              </w:rPr>
              <w:t>厂区</w:t>
            </w:r>
            <w:r>
              <w:rPr>
                <w:rFonts w:hint="eastAsia" w:ascii="Times New Roman" w:hAnsi="Times New Roman" w:cs="Times New Roman"/>
                <w:color w:val="auto"/>
                <w:sz w:val="24"/>
                <w:szCs w:val="22"/>
                <w:lang w:val="en-US" w:eastAsia="zh-CN"/>
              </w:rPr>
              <w:t>内</w:t>
            </w:r>
            <w:r>
              <w:rPr>
                <w:rFonts w:hint="default" w:ascii="Times New Roman" w:hAnsi="Times New Roman" w:cs="Times New Roman"/>
                <w:color w:val="auto"/>
                <w:sz w:val="24"/>
                <w:szCs w:val="22"/>
                <w:lang w:val="en-US" w:eastAsia="zh-CN"/>
              </w:rPr>
              <w:t>污水处理站预处理后一起排入</w:t>
            </w:r>
            <w:r>
              <w:rPr>
                <w:rFonts w:hint="default" w:ascii="Times New Roman" w:hAnsi="Times New Roman" w:cs="Times New Roman"/>
                <w:color w:val="auto"/>
                <w:sz w:val="24"/>
                <w:szCs w:val="22"/>
                <w:lang w:eastAsia="zh-CN"/>
              </w:rPr>
              <w:t>鄄城县第二人发产业中心污水处理厂进行处理，经鄄城县第二人发产业中心污水处理厂处理后排入鄄城县经济开发区污水处理厂进一步处理，处理达标后排入箕山河。</w:t>
            </w:r>
            <w:r>
              <w:rPr>
                <w:rFonts w:hint="default" w:ascii="Times New Roman" w:hAnsi="Times New Roman" w:cs="Times New Roman"/>
                <w:color w:val="auto"/>
                <w:sz w:val="24"/>
                <w:szCs w:val="22"/>
                <w:lang w:val="en-US" w:eastAsia="zh-CN"/>
              </w:rPr>
              <w:t>根据</w:t>
            </w:r>
            <w:r>
              <w:rPr>
                <w:rFonts w:hint="default" w:ascii="Times New Roman" w:hAnsi="Times New Roman" w:cs="Times New Roman"/>
                <w:color w:val="auto"/>
                <w:sz w:val="24"/>
                <w:szCs w:val="22"/>
                <w:lang w:eastAsia="zh-CN"/>
              </w:rPr>
              <w:t>鄄城县第二人发产业中心污水处理厂设计进出水水质，出水可达到</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流域水污染物综合排放标准</w:t>
            </w:r>
            <w:r>
              <w:rPr>
                <w:rFonts w:hint="default" w:ascii="Times New Roman" w:hAnsi="Times New Roman" w:cs="Times New Roman"/>
                <w:color w:val="auto"/>
                <w:sz w:val="24"/>
                <w:lang w:val="en-US" w:eastAsia="zh-CN"/>
              </w:rPr>
              <w:t xml:space="preserve"> 第一部分：南四湖东平湖流域</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DB37/3416.1-2018</w:t>
            </w:r>
            <w:r>
              <w:rPr>
                <w:rFonts w:hint="default" w:ascii="Times New Roman" w:hAnsi="Times New Roman" w:cs="Times New Roman"/>
                <w:color w:val="auto"/>
                <w:sz w:val="24"/>
                <w:lang w:eastAsia="zh-CN"/>
              </w:rPr>
              <w:t>）其他排污单位</w:t>
            </w:r>
            <w:r>
              <w:rPr>
                <w:rFonts w:hint="default" w:ascii="Times New Roman" w:hAnsi="Times New Roman" w:cs="Times New Roman"/>
                <w:color w:val="auto"/>
                <w:sz w:val="24"/>
                <w:lang w:val="en-US" w:eastAsia="zh-CN"/>
              </w:rPr>
              <w:t xml:space="preserve"> 一般保护区域标准值，本项目废水经</w:t>
            </w:r>
            <w:r>
              <w:rPr>
                <w:rFonts w:hint="default" w:ascii="Times New Roman" w:hAnsi="Times New Roman" w:cs="Times New Roman"/>
                <w:color w:val="auto"/>
                <w:sz w:val="24"/>
                <w:szCs w:val="22"/>
                <w:lang w:eastAsia="zh-CN"/>
              </w:rPr>
              <w:t>鄄城县第二人发产业中心污水处理厂处理后出水水质为</w:t>
            </w:r>
            <w:r>
              <w:rPr>
                <w:rFonts w:hint="default" w:ascii="Times New Roman" w:hAnsi="Times New Roman" w:cs="Times New Roman"/>
                <w:color w:val="auto"/>
                <w:sz w:val="24"/>
                <w:szCs w:val="22"/>
                <w:lang w:val="en-US" w:eastAsia="zh-CN"/>
              </w:rPr>
              <w:t>COD60mg/L、BOD20mg/L、氨氮8mg/L、SS30mg/L</w:t>
            </w:r>
            <w:r>
              <w:rPr>
                <w:rFonts w:hint="default" w:ascii="Times New Roman" w:hAnsi="Times New Roman" w:cs="Times New Roman"/>
                <w:color w:val="auto"/>
                <w:sz w:val="24"/>
              </w:rPr>
              <w:t>。</w:t>
            </w:r>
          </w:p>
          <w:p>
            <w:p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本项目废水</w:t>
            </w:r>
            <w:r>
              <w:rPr>
                <w:rFonts w:hint="default" w:ascii="Times New Roman" w:hAnsi="Times New Roman" w:cs="Times New Roman"/>
                <w:color w:val="auto"/>
                <w:sz w:val="24"/>
                <w:szCs w:val="24"/>
              </w:rPr>
              <w:t>不会对周围地表水环境造成影响。</w:t>
            </w:r>
          </w:p>
          <w:p>
            <w:pPr>
              <w:numPr>
                <w:ilvl w:val="0"/>
                <w:numId w:val="3"/>
              </w:numPr>
              <w:adjustRightInd w:val="0"/>
              <w:snapToGrid w:val="0"/>
              <w:spacing w:line="360" w:lineRule="auto"/>
              <w:ind w:firstLine="480"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地下水环境影响分析</w:t>
            </w:r>
          </w:p>
          <w:p>
            <w:pPr>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生产车间、化粪池、事故池、危废暂存间、一般固废室</w:t>
            </w:r>
            <w:r>
              <w:rPr>
                <w:rFonts w:hint="default" w:ascii="Times New Roman" w:hAnsi="Times New Roman" w:cs="Times New Roman"/>
                <w:color w:val="auto"/>
                <w:sz w:val="24"/>
                <w:szCs w:val="24"/>
              </w:rPr>
              <w:t>及公用工程设施在布置上应按污染物泄漏的可能性，严格划分为重点污染区和一般污染区。根据不同的污染防治区采取相应的防渗措施。项目防渗要求如下：重点污染防治区，包括</w:t>
            </w:r>
            <w:r>
              <w:rPr>
                <w:rFonts w:hint="default" w:ascii="Times New Roman" w:hAnsi="Times New Roman" w:cs="Times New Roman"/>
                <w:color w:val="auto"/>
                <w:sz w:val="24"/>
                <w:szCs w:val="24"/>
                <w:lang w:eastAsia="zh-CN"/>
              </w:rPr>
              <w:t>事故水池、洗发区、化粪池、危废暂存间、污水管线</w:t>
            </w:r>
            <w:r>
              <w:rPr>
                <w:rFonts w:hint="default" w:ascii="Times New Roman" w:hAnsi="Times New Roman" w:cs="Times New Roman"/>
                <w:color w:val="auto"/>
                <w:sz w:val="24"/>
                <w:szCs w:val="24"/>
              </w:rPr>
              <w:t>。一般防渗区包括</w:t>
            </w:r>
            <w:r>
              <w:rPr>
                <w:rFonts w:hint="default" w:ascii="Times New Roman" w:hAnsi="Times New Roman" w:cs="Times New Roman"/>
                <w:color w:val="auto"/>
                <w:sz w:val="24"/>
                <w:szCs w:val="24"/>
                <w:lang w:eastAsia="zh-CN"/>
              </w:rPr>
              <w:t>一般</w:t>
            </w:r>
            <w:r>
              <w:rPr>
                <w:rFonts w:hint="default" w:ascii="Times New Roman" w:hAnsi="Times New Roman" w:cs="Times New Roman"/>
                <w:color w:val="auto"/>
                <w:sz w:val="24"/>
                <w:szCs w:val="24"/>
              </w:rPr>
              <w:t>固废室、</w:t>
            </w:r>
            <w:r>
              <w:rPr>
                <w:rFonts w:hint="default" w:ascii="Times New Roman" w:hAnsi="Times New Roman" w:cs="Times New Roman"/>
                <w:color w:val="auto"/>
                <w:sz w:val="24"/>
                <w:szCs w:val="24"/>
                <w:lang w:eastAsia="zh-CN"/>
              </w:rPr>
              <w:t>生产车间</w:t>
            </w:r>
            <w:r>
              <w:rPr>
                <w:rFonts w:hint="default" w:ascii="Times New Roman" w:hAnsi="Times New Roman" w:cs="Times New Roman"/>
                <w:color w:val="auto"/>
                <w:sz w:val="24"/>
                <w:szCs w:val="24"/>
              </w:rPr>
              <w:t>。</w:t>
            </w:r>
          </w:p>
          <w:p>
            <w:pPr>
              <w:pStyle w:val="2"/>
              <w:adjustRightInd w:val="0"/>
              <w:snapToGrid w:val="0"/>
              <w:spacing w:after="0"/>
              <w:ind w:left="0" w:leftChars="0" w:firstLine="456"/>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地下水防渗工程应参照并执行《一般工业固体废物贮存、处置场污染控制标准》（GB 18599-2001）（2013修订）及《危险废物贮存污染控制标准》（GB18597-2001）（2013年修订）等标准或技术规范要求。</w:t>
            </w:r>
          </w:p>
          <w:p>
            <w:pPr>
              <w:pStyle w:val="2"/>
              <w:adjustRightInd w:val="0"/>
              <w:snapToGrid w:val="0"/>
              <w:spacing w:after="0"/>
              <w:ind w:left="0" w:leftChars="0" w:firstLine="456"/>
              <w:jc w:val="both"/>
              <w:rPr>
                <w:rFonts w:hint="default" w:ascii="Times New Roman" w:hAnsi="Times New Roman" w:cs="Times New Roman"/>
                <w:color w:val="auto"/>
              </w:rPr>
            </w:pPr>
            <w:r>
              <w:rPr>
                <w:rFonts w:hint="default" w:ascii="Times New Roman" w:hAnsi="Times New Roman" w:cs="Times New Roman"/>
                <w:color w:val="auto"/>
                <w:sz w:val="24"/>
                <w:szCs w:val="24"/>
              </w:rPr>
              <w:t>通过落实各项环保治理措施。加强生产管理，严格杜绝各种污染物下渗对地下水造成的污染，</w:t>
            </w:r>
            <w:r>
              <w:rPr>
                <w:rFonts w:hint="default" w:ascii="Times New Roman" w:hAnsi="Times New Roman" w:cs="Times New Roman"/>
                <w:color w:val="auto"/>
                <w:kern w:val="0"/>
                <w:sz w:val="24"/>
                <w:szCs w:val="21"/>
              </w:rPr>
              <w:t>企业在采取以上措施后，</w:t>
            </w:r>
            <w:r>
              <w:rPr>
                <w:rFonts w:hint="default" w:ascii="Times New Roman" w:hAnsi="Times New Roman" w:cs="Times New Roman"/>
                <w:color w:val="auto"/>
                <w:sz w:val="24"/>
              </w:rPr>
              <w:t>不会对项目场地范围内及周围区域地下水造成影响。</w:t>
            </w:r>
          </w:p>
          <w:p>
            <w:pPr>
              <w:adjustRightInd w:val="0"/>
              <w:snapToGrid w:val="0"/>
              <w:spacing w:line="360" w:lineRule="auto"/>
              <w:ind w:firstLine="480" w:firstLineChars="200"/>
              <w:jc w:val="both"/>
              <w:rPr>
                <w:rFonts w:hint="default" w:ascii="Times New Roman" w:hAnsi="Times New Roman" w:cs="Times New Roman"/>
                <w:b/>
                <w:bCs/>
                <w:color w:val="auto"/>
                <w:spacing w:val="-6"/>
                <w:sz w:val="24"/>
                <w:szCs w:val="24"/>
              </w:rPr>
            </w:pPr>
            <w:r>
              <w:rPr>
                <w:rFonts w:hint="default" w:ascii="Times New Roman" w:hAnsi="Times New Roman" w:cs="Times New Roman"/>
                <w:b/>
                <w:bCs/>
                <w:color w:val="auto"/>
                <w:sz w:val="24"/>
                <w:szCs w:val="24"/>
              </w:rPr>
              <w:t>4.3固体废物环境影响</w:t>
            </w:r>
            <w:r>
              <w:rPr>
                <w:rFonts w:hint="default" w:ascii="Times New Roman" w:hAnsi="Times New Roman" w:cs="Times New Roman"/>
                <w:b/>
                <w:bCs/>
                <w:color w:val="auto"/>
                <w:spacing w:val="-6"/>
                <w:sz w:val="24"/>
                <w:szCs w:val="24"/>
              </w:rPr>
              <w:t>及防治措施</w:t>
            </w:r>
          </w:p>
          <w:p>
            <w:pPr>
              <w:spacing w:line="360" w:lineRule="auto"/>
              <w:ind w:firstLine="480" w:firstLineChars="200"/>
              <w:jc w:val="both"/>
              <w:rPr>
                <w:rFonts w:hint="default" w:ascii="Times New Roman" w:hAnsi="Times New Roman" w:cs="Times New Roman"/>
                <w:color w:val="auto"/>
                <w:sz w:val="24"/>
                <w:szCs w:val="24"/>
              </w:rPr>
            </w:pPr>
            <w:bookmarkStart w:id="15" w:name="OLE_LINK72"/>
            <w:r>
              <w:rPr>
                <w:rFonts w:hint="default" w:ascii="Times New Roman" w:hAnsi="Times New Roman" w:cs="Times New Roman"/>
                <w:color w:val="auto"/>
                <w:sz w:val="24"/>
                <w:szCs w:val="24"/>
              </w:rPr>
              <w:t>项目固体废物</w:t>
            </w:r>
            <w:r>
              <w:rPr>
                <w:rFonts w:hint="default" w:ascii="Times New Roman" w:hAnsi="Times New Roman" w:cs="Times New Roman"/>
                <w:color w:val="auto"/>
                <w:sz w:val="24"/>
                <w:szCs w:val="24"/>
                <w:lang w:eastAsia="zh-CN"/>
              </w:rPr>
              <w:t>主要为碎发下</w:t>
            </w:r>
            <w:r>
              <w:rPr>
                <w:rFonts w:hint="default" w:ascii="Times New Roman" w:hAnsi="Times New Roman" w:cs="Times New Roman"/>
                <w:color w:val="auto"/>
                <w:sz w:val="24"/>
                <w:szCs w:val="24"/>
              </w:rPr>
              <w:t>角料、</w:t>
            </w:r>
            <w:r>
              <w:rPr>
                <w:rFonts w:hint="default" w:ascii="Times New Roman" w:hAnsi="Times New Roman" w:cs="Times New Roman"/>
                <w:color w:val="auto"/>
                <w:sz w:val="24"/>
                <w:szCs w:val="24"/>
                <w:lang w:eastAsia="zh-CN"/>
              </w:rPr>
              <w:t>厂区污水预处理站污泥</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废离子交换树脂</w:t>
            </w:r>
            <w:r>
              <w:rPr>
                <w:rFonts w:hint="default" w:ascii="Times New Roman" w:hAnsi="Times New Roman" w:cs="Times New Roman"/>
                <w:color w:val="auto"/>
                <w:sz w:val="24"/>
                <w:szCs w:val="24"/>
              </w:rPr>
              <w:t>及职工生活垃圾</w:t>
            </w:r>
            <w:r>
              <w:rPr>
                <w:rFonts w:hint="default" w:ascii="Times New Roman" w:hAnsi="Times New Roman" w:cs="Times New Roman"/>
                <w:color w:val="auto"/>
                <w:sz w:val="24"/>
                <w:szCs w:val="24"/>
                <w:lang w:eastAsia="zh-CN"/>
              </w:rPr>
              <w:t>。碎发下角料收集后外售处置；厂区污水预处理站污泥及废离子交换树脂等危险废物经分类收集后暂存于危废暂存间，定期交由资质单位处置；</w:t>
            </w:r>
            <w:r>
              <w:rPr>
                <w:rFonts w:hint="default" w:ascii="Times New Roman" w:hAnsi="Times New Roman" w:cs="Times New Roman"/>
                <w:color w:val="auto"/>
                <w:sz w:val="24"/>
                <w:szCs w:val="24"/>
              </w:rPr>
              <w:t>生活垃圾收集后交由当地环卫部门清运处置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本项目一般固废处理措施和处置方案满足《一般工业固体废物贮存、处置场污染控制标准》（GB18599-2001）及修改单要求</w:t>
            </w:r>
            <w:bookmarkEnd w:id="15"/>
            <w:r>
              <w:rPr>
                <w:rFonts w:hint="default" w:ascii="Times New Roman" w:hAnsi="Times New Roman" w:cs="Times New Roman"/>
                <w:color w:val="auto"/>
                <w:sz w:val="24"/>
                <w:szCs w:val="24"/>
              </w:rPr>
              <w:t>；危险废物满足《危险废物贮存污染控制标准》（GB18597-2001）及修改单要求。</w:t>
            </w:r>
          </w:p>
          <w:p>
            <w:pPr>
              <w:adjustRightInd w:val="0"/>
              <w:snapToGrid w:val="0"/>
              <w:spacing w:line="360" w:lineRule="auto"/>
              <w:ind w:firstLine="480"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4.4</w:t>
            </w:r>
            <w:r>
              <w:rPr>
                <w:rFonts w:hint="default" w:ascii="Times New Roman" w:hAnsi="Times New Roman" w:cs="Times New Roman"/>
                <w:b/>
                <w:bCs/>
                <w:color w:val="auto"/>
                <w:sz w:val="24"/>
                <w:szCs w:val="24"/>
              </w:rPr>
              <w:t>噪声达标排放</w:t>
            </w:r>
          </w:p>
          <w:p>
            <w:pPr>
              <w:pStyle w:val="129"/>
              <w:ind w:firstLine="480"/>
              <w:jc w:val="both"/>
              <w:rPr>
                <w:rFonts w:hint="default" w:ascii="Times New Roman" w:hAnsi="Times New Roman" w:cs="Times New Roman"/>
                <w:color w:val="auto"/>
                <w:szCs w:val="24"/>
              </w:rPr>
            </w:pPr>
            <w:bookmarkStart w:id="16" w:name="OLE_LINK73"/>
            <w:r>
              <w:rPr>
                <w:rFonts w:hint="default" w:ascii="Times New Roman" w:hAnsi="Times New Roman" w:cs="Times New Roman"/>
                <w:color w:val="auto"/>
                <w:szCs w:val="24"/>
              </w:rPr>
              <w:t>本项目运行期噪声主要来自生产设备运行噪声，噪声源强在</w:t>
            </w:r>
            <w:r>
              <w:rPr>
                <w:rFonts w:hint="default" w:ascii="Times New Roman" w:hAnsi="Times New Roman" w:cs="Times New Roman"/>
                <w:color w:val="auto"/>
                <w:szCs w:val="24"/>
                <w:lang w:val="en-US" w:eastAsia="zh-CN"/>
              </w:rPr>
              <w:t>65</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90</w:t>
            </w:r>
            <w:r>
              <w:rPr>
                <w:rFonts w:hint="default" w:ascii="Times New Roman" w:hAnsi="Times New Roman" w:cs="Times New Roman"/>
                <w:color w:val="auto"/>
                <w:szCs w:val="24"/>
              </w:rPr>
              <w:t>dB（A）之间。通过选用低噪声设备并合理布置噪声源，针对噪声源位置及特点分别采取基础减震、车间隔声、消声器消声等措施后，本项目厂界噪声能够满足《工业企业厂界环境噪声排放标准》（GB12348-2008）中的3类标准要求。</w:t>
            </w:r>
          </w:p>
          <w:bookmarkEnd w:id="16"/>
          <w:p>
            <w:pPr>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污染物总量控制分析表明：</w:t>
            </w:r>
          </w:p>
          <w:p>
            <w:pPr>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本项目不建设锅炉，排放废气不涉及SO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、NOx；</w:t>
            </w:r>
            <w:r>
              <w:rPr>
                <w:rFonts w:hint="default" w:ascii="Times New Roman" w:hAnsi="Times New Roman" w:cs="Times New Roman"/>
                <w:color w:val="auto"/>
                <w:sz w:val="24"/>
                <w:szCs w:val="22"/>
                <w:lang w:val="en-US" w:eastAsia="zh-CN"/>
              </w:rPr>
              <w:t>生活污水经化粪池处理后与生产废水经</w:t>
            </w:r>
            <w:r>
              <w:rPr>
                <w:rFonts w:hint="eastAsia" w:ascii="Times New Roman" w:hAnsi="Times New Roman" w:cs="Times New Roman"/>
                <w:color w:val="auto"/>
                <w:sz w:val="24"/>
                <w:szCs w:val="22"/>
                <w:lang w:val="en-US" w:eastAsia="zh-CN"/>
              </w:rPr>
              <w:t>依托鄄城裕昌发制品有限公司</w:t>
            </w:r>
            <w:r>
              <w:rPr>
                <w:rFonts w:hint="default" w:ascii="Times New Roman" w:hAnsi="Times New Roman" w:cs="Times New Roman"/>
                <w:color w:val="auto"/>
                <w:sz w:val="24"/>
                <w:szCs w:val="22"/>
                <w:lang w:val="en-US" w:eastAsia="zh-CN"/>
              </w:rPr>
              <w:t>厂区</w:t>
            </w:r>
            <w:r>
              <w:rPr>
                <w:rFonts w:hint="eastAsia" w:ascii="Times New Roman" w:hAnsi="Times New Roman" w:cs="Times New Roman"/>
                <w:color w:val="auto"/>
                <w:sz w:val="24"/>
                <w:szCs w:val="22"/>
                <w:lang w:val="en-US" w:eastAsia="zh-CN"/>
              </w:rPr>
              <w:t>内</w:t>
            </w:r>
            <w:r>
              <w:rPr>
                <w:rFonts w:hint="default" w:ascii="Times New Roman" w:hAnsi="Times New Roman" w:cs="Times New Roman"/>
                <w:color w:val="auto"/>
                <w:sz w:val="24"/>
                <w:szCs w:val="22"/>
                <w:lang w:val="en-US" w:eastAsia="zh-CN"/>
              </w:rPr>
              <w:t>污水处理站预处理后一起排入</w:t>
            </w:r>
            <w:r>
              <w:rPr>
                <w:rFonts w:hint="default" w:ascii="Times New Roman" w:hAnsi="Times New Roman" w:cs="Times New Roman"/>
                <w:color w:val="auto"/>
                <w:sz w:val="24"/>
                <w:szCs w:val="22"/>
                <w:lang w:eastAsia="zh-CN"/>
              </w:rPr>
              <w:t>鄄城县第二人发产业中心污水处理厂进行处理，经鄄城县第二人发产业中心污水处理厂处理后排入鄄城县经济开发区污水处理厂进一步处理，处理达标后排入箕山河。</w:t>
            </w:r>
            <w:r>
              <w:rPr>
                <w:rFonts w:hint="default" w:ascii="Times New Roman" w:hAnsi="Times New Roman" w:cs="Times New Roman"/>
                <w:color w:val="auto"/>
                <w:sz w:val="24"/>
                <w:szCs w:val="24"/>
              </w:rPr>
              <w:t>其总量已包含</w:t>
            </w:r>
            <w:r>
              <w:rPr>
                <w:rFonts w:hint="default" w:ascii="Times New Roman" w:hAnsi="Times New Roman" w:cs="Times New Roman"/>
                <w:color w:val="auto"/>
                <w:sz w:val="24"/>
                <w:szCs w:val="22"/>
                <w:lang w:eastAsia="zh-CN"/>
              </w:rPr>
              <w:t>鄄城县经济开发区污水处理厂</w:t>
            </w:r>
            <w:r>
              <w:rPr>
                <w:rFonts w:hint="default" w:ascii="Times New Roman" w:hAnsi="Times New Roman" w:cs="Times New Roman"/>
                <w:color w:val="auto"/>
                <w:sz w:val="24"/>
                <w:szCs w:val="24"/>
              </w:rPr>
              <w:t xml:space="preserve">总量范围内。因此，项目无需申请总量控制指标量。      </w:t>
            </w:r>
          </w:p>
          <w:p>
            <w:pPr>
              <w:adjustRightInd w:val="0"/>
              <w:snapToGrid w:val="0"/>
              <w:spacing w:line="360" w:lineRule="auto"/>
              <w:ind w:firstLine="480" w:firstLineChars="200"/>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二、</w:t>
            </w:r>
            <w:r>
              <w:rPr>
                <w:rFonts w:hint="default" w:ascii="Times New Roman" w:hAnsi="Times New Roman" w:cs="Times New Roman"/>
                <w:b/>
                <w:color w:val="auto"/>
                <w:sz w:val="24"/>
                <w:szCs w:val="24"/>
              </w:rPr>
              <w:t>建议</w:t>
            </w:r>
          </w:p>
          <w:p>
            <w:pPr>
              <w:pStyle w:val="32"/>
              <w:spacing w:after="0"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（1）严格执行“三同时”制度，在项目建设完成后，</w:t>
            </w:r>
            <w:r>
              <w:rPr>
                <w:rFonts w:hint="default" w:ascii="Times New Roman" w:hAnsi="Times New Roman" w:cs="Times New Roman"/>
                <w:color w:val="auto"/>
                <w:sz w:val="24"/>
              </w:rPr>
              <w:t>根据环保部《关于发布&lt;建设项目竣工环境保护验收暂行办法&gt;公告》（国环规【2017】4号）有关规定开展验收</w:t>
            </w:r>
            <w:r>
              <w:rPr>
                <w:rFonts w:hint="default" w:ascii="Times New Roman" w:hAnsi="Times New Roman" w:cs="Times New Roman"/>
                <w:color w:val="auto"/>
                <w:sz w:val="24"/>
                <w:szCs w:val="24"/>
              </w:rPr>
              <w:t>。</w:t>
            </w:r>
          </w:p>
          <w:p>
            <w:pPr>
              <w:tabs>
                <w:tab w:val="left" w:pos="738"/>
                <w:tab w:val="left" w:pos="900"/>
              </w:tabs>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（2）生产过程中加强运行管理，严格执行操作规程，确保安全生产。</w:t>
            </w:r>
          </w:p>
          <w:p>
            <w:pPr>
              <w:tabs>
                <w:tab w:val="left" w:pos="738"/>
                <w:tab w:val="left" w:pos="900"/>
              </w:tabs>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（3）加强环保设施的运行管理和环境监测，确保环保设施正常运转和污染物达标排放。积极配合当地环境保护部门搞好日常监督管理工作。</w:t>
            </w:r>
          </w:p>
          <w:p>
            <w:pPr>
              <w:pStyle w:val="32"/>
              <w:tabs>
                <w:tab w:val="left" w:pos="0"/>
              </w:tabs>
              <w:spacing w:after="0"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（4）加强项目管理人员和职工的环保教育，增强环保意识。贯彻清洁生产原则，将环保管理纳入生产管理中。</w:t>
            </w:r>
          </w:p>
          <w:p>
            <w:pPr>
              <w:pStyle w:val="32"/>
              <w:tabs>
                <w:tab w:val="left" w:pos="0"/>
              </w:tabs>
              <w:spacing w:after="0"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（5）建议建设单位在厂区进行适量的绿化，改善厂区环境。</w:t>
            </w:r>
          </w:p>
          <w:p>
            <w:pPr>
              <w:adjustRightInd w:val="0"/>
              <w:snapToGrid w:val="0"/>
              <w:spacing w:line="360" w:lineRule="auto"/>
              <w:ind w:firstLine="480" w:firstLineChars="200"/>
              <w:jc w:val="both"/>
              <w:rPr>
                <w:rFonts w:hint="eastAsia" w:ascii="Times New Roman" w:hAnsi="Times New Roman" w:eastAsia="宋体" w:cs="Times New Roman"/>
                <w:b/>
                <w:color w:val="auto"/>
                <w:sz w:val="24"/>
                <w:szCs w:val="24"/>
                <w:lang w:eastAsia="zh-CN"/>
              </w:rPr>
            </w:pPr>
            <w:r>
              <w:rPr>
                <w:rFonts w:hint="eastAsia" w:ascii="Times New Roman" w:hAnsi="Times New Roman" w:cs="Times New Roman"/>
                <w:b/>
                <w:color w:val="auto"/>
                <w:sz w:val="24"/>
                <w:szCs w:val="24"/>
                <w:lang w:eastAsia="zh-CN"/>
              </w:rPr>
              <w:t>三</w:t>
            </w:r>
            <w:r>
              <w:rPr>
                <w:rFonts w:hint="default"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eastAsia="zh-CN"/>
              </w:rPr>
              <w:t>结论</w:t>
            </w:r>
          </w:p>
          <w:p>
            <w:pPr>
              <w:adjustRightInd w:val="0"/>
              <w:snapToGrid w:val="0"/>
              <w:spacing w:line="360" w:lineRule="auto"/>
              <w:ind w:firstLine="480" w:firstLineChars="200"/>
              <w:jc w:val="both"/>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综上所述，本项目建设符合产业政策要求；厂址选择较为合理；项目在建设中和建成运行以后将产生一定程度的废水、废气、噪声及固废，在建设单位严格按照本报告提出的各项规定，切实落实各项污染防治措施以后，项目对周围环境的影响可以控制在国家有关标准和要求的允许范围以内；具有较好的环境、经济和社会效益。本项目从环境保护角度考虑是基本可行的。</w:t>
            </w:r>
          </w:p>
          <w:p>
            <w:pPr>
              <w:pStyle w:val="8"/>
              <w:ind w:left="0" w:leftChars="0" w:firstLine="0" w:firstLineChars="0"/>
              <w:rPr>
                <w:rFonts w:hint="eastAsia" w:ascii="Times New Roman" w:hAnsi="Times New Roman" w:eastAsia="宋体" w:cs="Times New Roman"/>
                <w:sz w:val="24"/>
                <w:szCs w:val="24"/>
                <w:lang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both"/>
              <w:textAlignment w:val="auto"/>
              <w:rPr>
                <w:rFonts w:hint="default" w:ascii="Times New Roman" w:hAnsi="宋体" w:eastAsia="宋体" w:cs="宋体"/>
                <w:b w:val="0"/>
                <w:color w:val="auto"/>
                <w:w w:val="100"/>
                <w:position w:val="0"/>
                <w:sz w:val="24"/>
                <w:szCs w:val="24"/>
                <w:shd w:val="clear"/>
                <w:lang w:val="zh-CN"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left"/>
              <w:textAlignment w:val="auto"/>
              <w:rPr>
                <w:rFonts w:hint="eastAsia" w:ascii="Times New Roman" w:hAnsi="宋体" w:eastAsia="宋体" w:cs="宋体"/>
                <w:b w:val="0"/>
                <w:color w:val="auto"/>
                <w:w w:val="100"/>
                <w:position w:val="0"/>
                <w:sz w:val="24"/>
                <w:szCs w:val="24"/>
                <w:shd w:val="clear"/>
                <w:lang w:val="zh-CN" w:eastAsia="zh-CN"/>
              </w:rPr>
            </w:pPr>
            <w:r>
              <w:rPr>
                <w:rFonts w:hint="eastAsia" w:ascii="Times New Roman" w:hAnsi="Times New Roman" w:eastAsia="宋体" w:cs="Times New Roman"/>
                <w:b/>
                <w:color w:val="auto"/>
                <w:position w:val="0"/>
                <w:sz w:val="24"/>
                <w:szCs w:val="24"/>
                <w:lang w:val="en-US" w:eastAsia="zh-CN"/>
              </w:rPr>
              <w:t>2、</w:t>
            </w:r>
            <w:r>
              <w:rPr>
                <w:rFonts w:hint="default" w:ascii="Times New Roman" w:hAnsi="Times New Roman" w:cs="Times New Roman" w:eastAsiaTheme="minorEastAsia"/>
                <w:b/>
                <w:color w:val="auto"/>
                <w:position w:val="0"/>
                <w:sz w:val="24"/>
                <w:szCs w:val="24"/>
              </w:rPr>
              <w:t xml:space="preserve">项目环保措施与要求 </w:t>
            </w:r>
            <w:r>
              <w:rPr>
                <w:rFonts w:hint="eastAsia" w:ascii="Times New Roman" w:hAnsi="宋体" w:eastAsia="宋体" w:cs="宋体"/>
                <w:b w:val="0"/>
                <w:color w:val="auto"/>
                <w:w w:val="100"/>
                <w:position w:val="0"/>
                <w:sz w:val="24"/>
                <w:szCs w:val="24"/>
                <w:shd w:val="clear"/>
                <w:lang w:val="zh-CN" w:eastAsia="zh-CN"/>
              </w:rPr>
              <w:drawing>
                <wp:inline distT="0" distB="0" distL="114300" distR="114300">
                  <wp:extent cx="5160645" cy="7889240"/>
                  <wp:effectExtent l="0" t="0" r="1905" b="16510"/>
                  <wp:docPr id="14" name="图片 14" descr="批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批复文件1"/>
                          <pic:cNvPicPr>
                            <a:picLocks noChangeAspect="1"/>
                          </pic:cNvPicPr>
                        </pic:nvPicPr>
                        <pic:blipFill>
                          <a:blip r:embed="rId13"/>
                          <a:srcRect t="7380" b="12684"/>
                          <a:stretch>
                            <a:fillRect/>
                          </a:stretch>
                        </pic:blipFill>
                        <pic:spPr>
                          <a:xfrm>
                            <a:off x="0" y="0"/>
                            <a:ext cx="5160645" cy="7889240"/>
                          </a:xfrm>
                          <a:prstGeom prst="rect">
                            <a:avLst/>
                          </a:prstGeom>
                        </pic:spPr>
                      </pic:pic>
                    </a:graphicData>
                  </a:graphic>
                </wp:inline>
              </w:drawing>
            </w:r>
            <w:r>
              <w:rPr>
                <w:rFonts w:hint="eastAsia" w:ascii="Times New Roman" w:hAnsi="宋体" w:eastAsia="宋体" w:cs="宋体"/>
                <w:b w:val="0"/>
                <w:color w:val="auto"/>
                <w:w w:val="100"/>
                <w:position w:val="0"/>
                <w:sz w:val="24"/>
                <w:szCs w:val="24"/>
                <w:shd w:val="clear"/>
                <w:lang w:val="zh-CN" w:eastAsia="zh-CN"/>
              </w:rPr>
              <w:drawing>
                <wp:inline distT="0" distB="0" distL="114300" distR="114300">
                  <wp:extent cx="5093335" cy="8232140"/>
                  <wp:effectExtent l="0" t="0" r="12065" b="16510"/>
                  <wp:docPr id="15" name="图片 15" descr="批复文件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批复文件1 (2)"/>
                          <pic:cNvPicPr>
                            <a:picLocks noChangeAspect="1"/>
                          </pic:cNvPicPr>
                        </pic:nvPicPr>
                        <pic:blipFill>
                          <a:blip r:embed="rId14"/>
                          <a:srcRect t="6995" b="13236"/>
                          <a:stretch>
                            <a:fillRect/>
                          </a:stretch>
                        </pic:blipFill>
                        <pic:spPr>
                          <a:xfrm>
                            <a:off x="0" y="0"/>
                            <a:ext cx="5093335" cy="8232140"/>
                          </a:xfrm>
                          <a:prstGeom prst="rect">
                            <a:avLst/>
                          </a:prstGeom>
                        </pic:spPr>
                      </pic:pic>
                    </a:graphicData>
                  </a:graphic>
                </wp:inline>
              </w:drawing>
            </w:r>
          </w:p>
          <w:p>
            <w:pPr>
              <w:keepNext w:val="0"/>
              <w:keepLines w:val="0"/>
              <w:pageBreakBefore w:val="0"/>
              <w:numPr>
                <w:ilvl w:val="0"/>
                <w:numId w:val="0"/>
              </w:numPr>
              <w:kinsoku/>
              <w:overflowPunct/>
              <w:topLinePunct w:val="0"/>
              <w:autoSpaceDE/>
              <w:autoSpaceDN/>
              <w:bidi w:val="0"/>
              <w:adjustRightInd/>
              <w:snapToGrid/>
              <w:spacing w:before="0" w:line="360" w:lineRule="auto"/>
              <w:ind w:right="0" w:rightChars="0"/>
              <w:jc w:val="left"/>
              <w:textAlignment w:val="auto"/>
              <w:rPr>
                <w:rFonts w:hint="default" w:ascii="Times New Roman" w:hAnsi="Times New Roman" w:cs="Times New Roman" w:eastAsiaTheme="minorEastAsia"/>
                <w:b/>
                <w:color w:val="auto"/>
                <w:position w:val="0"/>
                <w:sz w:val="24"/>
                <w:szCs w:val="24"/>
              </w:rPr>
            </w:pP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jc w:val="left"/>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环评批复要求及落实情况见表4-1，如下：</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192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表4-1 环评批复要求及落实情况一览表</w:t>
            </w:r>
          </w:p>
          <w:tbl>
            <w:tblPr>
              <w:tblStyle w:val="33"/>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66"/>
              <w:gridCol w:w="3671"/>
              <w:gridCol w:w="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center"/>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环评批复要求</w:t>
                  </w: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center"/>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实际落实情况</w:t>
                  </w: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2"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r>
                    <w:rPr>
                      <w:rFonts w:hint="eastAsia" w:ascii="Times New Roman" w:hAnsi="宋体" w:eastAsia="宋体" w:cs="宋体"/>
                      <w:b w:val="0"/>
                      <w:color w:val="auto"/>
                      <w:w w:val="100"/>
                      <w:position w:val="0"/>
                      <w:sz w:val="24"/>
                      <w:szCs w:val="24"/>
                      <w:shd w:val="clear"/>
                      <w:lang w:val="en-US" w:eastAsia="zh-CN"/>
                    </w:rPr>
                    <w:t>该项目废水主要为生产废水和生活污水。按照“雨污分流”原则合理设计、建设项目区排水系统。生产废水和生活污水一起先经厂内污水预处理装置进行处理，然后通过污水管网排入鄄城县第一人发产业园污水处理厂进行集中处.理，池体须做好防渗措施。</w:t>
                  </w: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vertAlign w:val="baseline"/>
                      <w:lang w:val="en-US" w:eastAsia="zh-CN"/>
                    </w:rPr>
                  </w:pPr>
                  <w:r>
                    <w:rPr>
                      <w:rFonts w:hint="default" w:ascii="Times New Roman" w:hAnsi="宋体" w:eastAsia="宋体" w:cs="宋体"/>
                      <w:b w:val="0"/>
                      <w:color w:val="auto"/>
                      <w:w w:val="100"/>
                      <w:position w:val="0"/>
                      <w:sz w:val="24"/>
                      <w:szCs w:val="24"/>
                      <w:shd w:val="clear"/>
                      <w:lang w:val="en-US" w:eastAsia="zh-CN"/>
                    </w:rPr>
                    <w:t>经核实，</w:t>
                  </w:r>
                  <w:r>
                    <w:rPr>
                      <w:rFonts w:hint="eastAsia" w:ascii="Times New Roman" w:hAnsi="宋体" w:eastAsia="宋体" w:cs="宋体"/>
                      <w:b w:val="0"/>
                      <w:color w:val="auto"/>
                      <w:w w:val="100"/>
                      <w:position w:val="0"/>
                      <w:sz w:val="24"/>
                      <w:szCs w:val="24"/>
                      <w:shd w:val="clear"/>
                      <w:lang w:val="en-US" w:eastAsia="zh-CN"/>
                    </w:rPr>
                    <w:t>按照</w:t>
                  </w:r>
                  <w:r>
                    <w:rPr>
                      <w:rFonts w:hint="default" w:ascii="Times New Roman" w:hAnsi="宋体" w:eastAsia="宋体" w:cs="宋体"/>
                      <w:b w:val="0"/>
                      <w:color w:val="auto"/>
                      <w:w w:val="100"/>
                      <w:position w:val="0"/>
                      <w:sz w:val="24"/>
                      <w:szCs w:val="24"/>
                      <w:shd w:val="clear"/>
                      <w:lang w:val="zh-CN" w:eastAsia="zh-CN"/>
                    </w:rPr>
                    <w:t>“雨污分流”</w:t>
                  </w:r>
                  <w:r>
                    <w:rPr>
                      <w:rFonts w:hint="default" w:ascii="Times New Roman" w:hAnsi="宋体" w:eastAsia="宋体" w:cs="宋体"/>
                      <w:b w:val="0"/>
                      <w:color w:val="auto"/>
                      <w:w w:val="100"/>
                      <w:position w:val="0"/>
                      <w:sz w:val="24"/>
                      <w:szCs w:val="24"/>
                      <w:shd w:val="clear"/>
                      <w:lang w:val="en-US" w:eastAsia="zh-CN"/>
                    </w:rPr>
                    <w:t>原则</w:t>
                  </w:r>
                  <w:r>
                    <w:rPr>
                      <w:rFonts w:hint="default" w:ascii="Times New Roman" w:hAnsi="宋体" w:eastAsia="宋体" w:cs="宋体"/>
                      <w:b w:val="0"/>
                      <w:color w:val="auto"/>
                      <w:w w:val="100"/>
                      <w:position w:val="0"/>
                      <w:sz w:val="24"/>
                      <w:szCs w:val="24"/>
                      <w:shd w:val="clear"/>
                      <w:lang w:val="zh-CN" w:eastAsia="zh-CN"/>
                    </w:rPr>
                    <w:t>设计</w:t>
                  </w:r>
                  <w:r>
                    <w:rPr>
                      <w:rFonts w:hint="eastAsia" w:ascii="Times New Roman" w:hAnsi="宋体" w:eastAsia="宋体" w:cs="宋体"/>
                      <w:b w:val="0"/>
                      <w:color w:val="auto"/>
                      <w:w w:val="100"/>
                      <w:position w:val="0"/>
                      <w:sz w:val="24"/>
                      <w:szCs w:val="24"/>
                      <w:shd w:val="clear"/>
                      <w:lang w:val="zh-CN" w:eastAsia="zh-CN"/>
                    </w:rPr>
                    <w:t>、</w:t>
                  </w:r>
                  <w:r>
                    <w:rPr>
                      <w:rFonts w:hint="eastAsia" w:ascii="Times New Roman" w:hAnsi="宋体" w:eastAsia="宋体" w:cs="宋体"/>
                      <w:b w:val="0"/>
                      <w:color w:val="auto"/>
                      <w:w w:val="100"/>
                      <w:position w:val="0"/>
                      <w:sz w:val="24"/>
                      <w:szCs w:val="24"/>
                      <w:shd w:val="clear"/>
                      <w:lang w:val="en-US" w:eastAsia="zh-CN"/>
                    </w:rPr>
                    <w:t>建设项目区排水系统。生产废水和生活污水先经厂内污水预处理装置进行处理，然后通过污水管网排入鄄城县第一人发产业园污水处理厂进行集中处理，化粪池、中和调节池、沉淀池和事故水池池底和四壁做好防渗。</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已</w:t>
                  </w:r>
                  <w:r>
                    <w:rPr>
                      <w:rFonts w:hint="eastAsia" w:ascii="Times New Roman" w:hAnsi="宋体" w:eastAsia="宋体" w:cs="宋体"/>
                      <w:b w:val="0"/>
                      <w:color w:val="auto"/>
                      <w:w w:val="100"/>
                      <w:position w:val="0"/>
                      <w:sz w:val="24"/>
                      <w:szCs w:val="24"/>
                      <w:shd w:val="clear"/>
                      <w:lang w:val="en-US" w:eastAsia="zh-CN"/>
                    </w:rPr>
                    <w:t>基本</w:t>
                  </w:r>
                  <w:r>
                    <w:rPr>
                      <w:rFonts w:hint="default" w:ascii="Times New Roman" w:hAnsi="宋体" w:eastAsia="宋体" w:cs="宋体"/>
                      <w:b w:val="0"/>
                      <w:color w:val="auto"/>
                      <w:w w:val="100"/>
                      <w:position w:val="0"/>
                      <w:sz w:val="24"/>
                      <w:szCs w:val="24"/>
                      <w:shd w:val="clear"/>
                      <w:lang w:val="en-US" w:eastAsia="zh-CN"/>
                    </w:rPr>
                    <w:t>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3766" w:type="dxa"/>
                  <w:vAlign w:val="center"/>
                </w:tcPr>
                <w:p>
                  <w:pPr>
                    <w:keepNext w:val="0"/>
                    <w:keepLines w:val="0"/>
                    <w:widowControl/>
                    <w:suppressLineNumbers w:val="0"/>
                    <w:jc w:val="left"/>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 xml:space="preserve"> 该项目产生的废气主要是洗发车间配酸和酸洗浸泡时产生的酸性废气，人发中和处理时产生的含氨废气。洗发车间配酸和酸洗浸泡工段采用密闭措施收集硫酸雾后引至喊液喷淋塔进行吸收处理，处理达标后通过不低于15米高的排气简排放，排放时需满足《大气污染物综合排放标准》(GB16297-1996) 表2中二级标准要求:人发中和处理工段产生的含氨废气采用密闭措施收集后引入稀硫酸溶液喷淋塔进行吸收处理，处理达标后通过不低于15米高的排气简排放，排放时需满足《恶臭污染物排放标准》(GB 14554- -93)二级新建标准。无组织硫酸雾排放时厂界浓度需满足《大气污染物综合排放标准》(GB16297- 1996) 表2中相应标准,无组织氨排放时厂界浓度需满足《恶臭污染物排放标准》(GB 14554-93)二级新建标准。烘干室热源由园区蒸汽管道供汽。该项目运行后生产车间须设置100米的卫生防护距离。</w:t>
                  </w:r>
                </w:p>
                <w:p>
                  <w:pPr>
                    <w:keepNext w:val="0"/>
                    <w:keepLines w:val="0"/>
                    <w:pageBreakBefore w:val="0"/>
                    <w:widowControl w:val="0"/>
                    <w:shd w:val="clear" w:color="auto" w:fill="auto"/>
                    <w:kinsoku/>
                    <w:overflowPunct/>
                    <w:topLinePunct w:val="0"/>
                    <w:bidi w:val="0"/>
                    <w:adjustRightInd/>
                    <w:spacing w:before="0" w:line="360" w:lineRule="auto"/>
                    <w:ind w:right="22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3671" w:type="dxa"/>
                  <w:vAlign w:val="center"/>
                </w:tcPr>
                <w:p>
                  <w:pPr>
                    <w:keepNext w:val="0"/>
                    <w:keepLines w:val="0"/>
                    <w:pageBreakBefore w:val="0"/>
                    <w:numPr>
                      <w:ilvl w:val="0"/>
                      <w:numId w:val="0"/>
                    </w:numPr>
                    <w:kinsoku/>
                    <w:overflowPunct/>
                    <w:topLinePunct w:val="0"/>
                    <w:autoSpaceDE/>
                    <w:autoSpaceDN/>
                    <w:bidi w:val="0"/>
                    <w:adjustRightInd/>
                    <w:snapToGrid w:val="0"/>
                    <w:spacing w:before="0" w:line="360" w:lineRule="auto"/>
                    <w:ind w:right="0"/>
                    <w:jc w:val="both"/>
                    <w:textAlignment w:val="auto"/>
                    <w:rPr>
                      <w:rFonts w:hint="default" w:eastAsia="Times New Roman" w:cs="宋体"/>
                      <w:lang w:val="en-US" w:eastAsia="zh-CN"/>
                    </w:rPr>
                  </w:pPr>
                  <w:r>
                    <w:rPr>
                      <w:rFonts w:hint="default"/>
                      <w:lang w:val="en-US" w:eastAsia="zh-CN"/>
                    </w:rPr>
                    <w:t>经核实，</w:t>
                  </w:r>
                  <w:r>
                    <w:rPr>
                      <w:rFonts w:hint="eastAsia"/>
                      <w:lang w:val="en-US" w:eastAsia="zh-CN"/>
                    </w:rPr>
                    <w:t>硫酸雾密闭间集气罩收集+</w:t>
                  </w:r>
                  <w:r>
                    <w:rPr>
                      <w:rFonts w:hint="eastAsia" w:eastAsia="Times New Roman" w:cs="宋体"/>
                      <w:lang w:val="en-US" w:eastAsia="zh-CN"/>
                    </w:rPr>
                    <w:t>碱液喷淋塔+15m排气筒</w:t>
                  </w:r>
                  <w:r>
                    <w:rPr>
                      <w:rFonts w:hint="eastAsia" w:cs="宋体"/>
                      <w:lang w:val="en-US" w:eastAsia="zh-CN"/>
                    </w:rPr>
                    <w:t>，达标排放。</w:t>
                  </w:r>
                </w:p>
                <w:p>
                  <w:pPr>
                    <w:keepNext w:val="0"/>
                    <w:keepLines w:val="0"/>
                    <w:pageBreakBefore w:val="0"/>
                    <w:numPr>
                      <w:ilvl w:val="0"/>
                      <w:numId w:val="0"/>
                    </w:numPr>
                    <w:kinsoku/>
                    <w:overflowPunct/>
                    <w:topLinePunct w:val="0"/>
                    <w:autoSpaceDE/>
                    <w:autoSpaceDN/>
                    <w:bidi w:val="0"/>
                    <w:adjustRightInd/>
                    <w:snapToGrid w:val="0"/>
                    <w:spacing w:before="0" w:line="360" w:lineRule="auto"/>
                    <w:ind w:right="0"/>
                    <w:jc w:val="both"/>
                    <w:textAlignment w:val="auto"/>
                    <w:rPr>
                      <w:rFonts w:hint="default" w:eastAsia="Times New Roman" w:cs="宋体"/>
                      <w:lang w:val="en-US" w:eastAsia="zh-CN"/>
                    </w:rPr>
                  </w:pPr>
                  <w:r>
                    <w:rPr>
                      <w:rFonts w:hint="eastAsia" w:eastAsia="Times New Roman" w:cs="宋体"/>
                      <w:lang w:val="en-US" w:eastAsia="zh-CN"/>
                    </w:rPr>
                    <w:t>氨气密闭间集气罩收集+稀硫酸溶液喷淋塔+15m排气筒</w:t>
                  </w:r>
                  <w:r>
                    <w:rPr>
                      <w:rFonts w:hint="eastAsia" w:cs="宋体"/>
                      <w:lang w:val="en-US" w:eastAsia="zh-CN"/>
                    </w:rPr>
                    <w:t>，达标排放。周围100米内无医院、学校等敏感点。</w:t>
                  </w:r>
                </w:p>
                <w:p>
                  <w:pPr>
                    <w:rPr>
                      <w:rFonts w:hint="default"/>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eastAsia" w:eastAsia="Times New Roman" w:cs="宋体"/>
                      <w:b w:val="0"/>
                      <w:w w:val="100"/>
                      <w:sz w:val="22"/>
                      <w:szCs w:val="22"/>
                      <w:shd w:val="clear"/>
                      <w:lang w:val="en-US" w:eastAsia="zh-CN"/>
                    </w:rPr>
                    <w:t>本项目不设置食堂，不产生油烟。其他</w:t>
                  </w:r>
                  <w:r>
                    <w:rPr>
                      <w:rFonts w:hint="default" w:ascii="Times New Roman" w:hAnsi="宋体" w:eastAsia="宋体" w:cs="宋体"/>
                      <w:b w:val="0"/>
                      <w:color w:val="auto"/>
                      <w:w w:val="100"/>
                      <w:position w:val="0"/>
                      <w:sz w:val="24"/>
                      <w:szCs w:val="24"/>
                      <w:shd w:val="clear"/>
                      <w:lang w:val="en-US" w:eastAsia="zh-CN"/>
                    </w:rPr>
                    <w:t>已落实</w:t>
                  </w:r>
                  <w:r>
                    <w:rPr>
                      <w:rFonts w:hint="eastAsia" w:ascii="Times New Roman" w:hAnsi="宋体" w:eastAsia="宋体" w:cs="宋体"/>
                      <w:b w:val="0"/>
                      <w:color w:val="auto"/>
                      <w:w w:val="100"/>
                      <w:position w:val="0"/>
                      <w:sz w:val="24"/>
                      <w:szCs w:val="24"/>
                      <w:shd w:val="clear"/>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本项目运营后下脚料收集后外售综合利用;废离子交换树脂属于危险废物，须交由有相关资质的单位进行处理，并执行联单转移制度:生活垃圾和干污泥收集后由环卫部门统一处理， 不得对环境产生二次污染。</w:t>
                  </w:r>
                  <w:r>
                    <w:rPr>
                      <w:rFonts w:hint="eastAsia" w:ascii="Times New Roman" w:hAnsi="宋体" w:eastAsia="宋体" w:cs="宋体"/>
                      <w:b w:val="0"/>
                      <w:color w:val="auto"/>
                      <w:w w:val="100"/>
                      <w:position w:val="0"/>
                      <w:sz w:val="24"/>
                      <w:szCs w:val="24"/>
                      <w:shd w:val="clear"/>
                      <w:lang w:val="en-US" w:eastAsia="zh-CN"/>
                    </w:rPr>
                    <w:t>一</w:t>
                  </w:r>
                  <w:r>
                    <w:rPr>
                      <w:rFonts w:hint="default" w:ascii="Times New Roman" w:hAnsi="宋体" w:eastAsia="宋体" w:cs="宋体"/>
                      <w:b w:val="0"/>
                      <w:color w:val="auto"/>
                      <w:w w:val="100"/>
                      <w:position w:val="0"/>
                      <w:sz w:val="24"/>
                      <w:szCs w:val="24"/>
                      <w:shd w:val="clear"/>
                      <w:lang w:val="zh-CN" w:eastAsia="zh-CN"/>
                    </w:rPr>
                    <w:t xml:space="preserve"> 般固废的处理措施和处置方案须满足《一般工业固体废物贮存、处置场污染控制标准》(GB18599</w:t>
                  </w:r>
                  <w:r>
                    <w:rPr>
                      <w:rFonts w:hint="eastAsia" w:ascii="Times New Roman" w:hAnsi="宋体" w:eastAsia="宋体" w:cs="宋体"/>
                      <w:b w:val="0"/>
                      <w:color w:val="auto"/>
                      <w:w w:val="100"/>
                      <w:position w:val="0"/>
                      <w:sz w:val="24"/>
                      <w:szCs w:val="24"/>
                      <w:shd w:val="clear"/>
                      <w:lang w:val="en-US" w:eastAsia="zh-CN"/>
                    </w:rPr>
                    <w:t>-</w:t>
                  </w:r>
                  <w:r>
                    <w:rPr>
                      <w:rFonts w:hint="default" w:ascii="Times New Roman" w:hAnsi="宋体" w:eastAsia="宋体" w:cs="宋体"/>
                      <w:b w:val="0"/>
                      <w:color w:val="auto"/>
                      <w:w w:val="100"/>
                      <w:position w:val="0"/>
                      <w:sz w:val="24"/>
                      <w:szCs w:val="24"/>
                      <w:shd w:val="clear"/>
                      <w:lang w:val="zh-CN" w:eastAsia="zh-CN"/>
                    </w:rPr>
                    <w:t xml:space="preserve"> 2001)及修改单标准中相关要求;危险废物的处理措施和处置方案须满足《危险废物贮存污染控制标准》(GB18597-2001) 要求，并加强各类危险废物储存、运输和处置全过程的环境管理，防止产生二次污染。</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经核实，</w:t>
                  </w:r>
                  <w:r>
                    <w:rPr>
                      <w:rFonts w:hint="default" w:ascii="Times New Roman" w:hAnsi="宋体" w:eastAsia="宋体" w:cs="宋体"/>
                      <w:b w:val="0"/>
                      <w:color w:val="auto"/>
                      <w:w w:val="100"/>
                      <w:position w:val="0"/>
                      <w:sz w:val="24"/>
                      <w:szCs w:val="24"/>
                      <w:shd w:val="clear"/>
                      <w:lang w:val="zh-CN" w:eastAsia="zh-CN"/>
                    </w:rPr>
                    <w:t>废离子交换树脂属于危险废物，</w:t>
                  </w:r>
                  <w:r>
                    <w:rPr>
                      <w:rFonts w:hint="eastAsia" w:ascii="Times New Roman" w:hAnsi="宋体" w:eastAsia="宋体" w:cs="宋体"/>
                      <w:b w:val="0"/>
                      <w:color w:val="auto"/>
                      <w:w w:val="100"/>
                      <w:position w:val="0"/>
                      <w:sz w:val="24"/>
                      <w:szCs w:val="24"/>
                      <w:shd w:val="clear"/>
                      <w:lang w:val="en-US" w:eastAsia="zh-CN"/>
                    </w:rPr>
                    <w:t>暂存于危废间内，</w:t>
                  </w:r>
                  <w:r>
                    <w:rPr>
                      <w:rFonts w:hint="default" w:ascii="Times New Roman" w:hAnsi="宋体" w:eastAsia="宋体" w:cs="宋体"/>
                      <w:b w:val="0"/>
                      <w:color w:val="auto"/>
                      <w:w w:val="100"/>
                      <w:position w:val="0"/>
                      <w:sz w:val="24"/>
                      <w:szCs w:val="24"/>
                      <w:shd w:val="clear"/>
                      <w:lang w:val="zh-CN" w:eastAsia="zh-CN"/>
                    </w:rPr>
                    <w:t>交由有相关资质的单位进行处理，并执行联单转移制度:生活垃圾和干污泥收集后由环卫部门统一处理</w:t>
                  </w:r>
                  <w:r>
                    <w:rPr>
                      <w:rFonts w:hint="eastAsia" w:ascii="Times New Roman" w:hAnsi="宋体" w:eastAsia="宋体" w:cs="宋体"/>
                      <w:b w:val="0"/>
                      <w:color w:val="auto"/>
                      <w:w w:val="100"/>
                      <w:position w:val="0"/>
                      <w:sz w:val="24"/>
                      <w:szCs w:val="24"/>
                      <w:shd w:val="clear"/>
                      <w:lang w:val="zh-CN" w:eastAsia="zh-CN"/>
                    </w:rPr>
                    <w:t>。</w:t>
                  </w:r>
                  <w:r>
                    <w:rPr>
                      <w:rFonts w:hint="eastAsia" w:ascii="Times New Roman" w:hAnsi="宋体" w:eastAsia="宋体" w:cs="宋体"/>
                      <w:b w:val="0"/>
                      <w:color w:val="auto"/>
                      <w:w w:val="100"/>
                      <w:position w:val="0"/>
                      <w:sz w:val="24"/>
                      <w:szCs w:val="24"/>
                      <w:shd w:val="clear"/>
                      <w:lang w:val="en-US" w:eastAsia="zh-CN"/>
                    </w:rPr>
                    <w:t>下脚料收集后外售综合利用。</w:t>
                  </w: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车间内生产设备产生的噪声须经设备选型、屏蔽减振及绿化带衰减等措施进行处理，确保厂界噪声符合《工业企业厂界环境噪声排放标准》(GB12348 2008)中3类标准。</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eastAsia" w:ascii="Times New Roman" w:hAnsi="宋体" w:eastAsia="宋体" w:cs="宋体"/>
                      <w:b w:val="0"/>
                      <w:color w:val="auto"/>
                      <w:w w:val="100"/>
                      <w:position w:val="0"/>
                      <w:sz w:val="24"/>
                      <w:szCs w:val="24"/>
                      <w:shd w:val="clear"/>
                      <w:lang w:val="en-US" w:eastAsia="zh-CN"/>
                    </w:rPr>
                    <w:t>经核实，车间设备选型、屏蔽减振及绿化带已经落实，满足</w:t>
                  </w:r>
                  <w:r>
                    <w:rPr>
                      <w:rFonts w:hint="default" w:ascii="Times New Roman" w:hAnsi="宋体" w:eastAsia="宋体" w:cs="宋体"/>
                      <w:b w:val="0"/>
                      <w:color w:val="auto"/>
                      <w:w w:val="100"/>
                      <w:position w:val="0"/>
                      <w:sz w:val="24"/>
                      <w:szCs w:val="24"/>
                      <w:shd w:val="clear"/>
                      <w:lang w:val="zh-CN" w:eastAsia="zh-CN"/>
                    </w:rPr>
                    <w:t>《工业企业厂界环境噪声排放标准》(GB12348 2008)中3类标准。</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p>
              </w:tc>
            </w:tr>
          </w:tbl>
          <w:p>
            <w:pPr>
              <w:keepNext w:val="0"/>
              <w:keepLines w:val="0"/>
              <w:pageBreakBefore w:val="0"/>
              <w:numPr>
                <w:ilvl w:val="0"/>
                <w:numId w:val="0"/>
              </w:numPr>
              <w:kinsoku/>
              <w:wordWrap w:val="0"/>
              <w:overflowPunct/>
              <w:topLinePunct w:val="0"/>
              <w:bidi w:val="0"/>
              <w:adjustRightInd/>
              <w:spacing w:before="0" w:line="360" w:lineRule="auto"/>
              <w:ind w:right="0" w:firstLine="0"/>
              <w:jc w:val="center"/>
              <w:textAlignment w:val="auto"/>
              <w:rPr>
                <w:rFonts w:hint="default" w:ascii="Times New Roman" w:hAnsi="宋体" w:eastAsia="宋体" w:cs="宋体"/>
                <w:b w:val="0"/>
                <w:color w:val="auto"/>
                <w:w w:val="100"/>
                <w:position w:val="0"/>
                <w:sz w:val="24"/>
                <w:szCs w:val="24"/>
                <w:shd w:val="clear"/>
                <w:lang w:val="en-US" w:eastAsia="zh-CN"/>
              </w:rPr>
            </w:pP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firstLine="480"/>
              <w:jc w:val="both"/>
              <w:textAlignment w:val="auto"/>
              <w:rPr>
                <w:rFonts w:hint="default" w:ascii="Times New Roman" w:hAnsi="Times New Roman" w:cs="Times New Roman" w:eastAsiaTheme="minorEastAsia"/>
                <w:color w:val="000000"/>
                <w:position w:val="0"/>
                <w:sz w:val="24"/>
                <w:szCs w:val="24"/>
              </w:rPr>
            </w:pPr>
            <w:r>
              <w:rPr>
                <w:rFonts w:hint="default" w:ascii="Times New Roman" w:hAnsi="宋体" w:eastAsia="宋体" w:cs="宋体"/>
                <w:b w:val="0"/>
                <w:color w:val="auto"/>
                <w:w w:val="100"/>
                <w:position w:val="0"/>
                <w:sz w:val="24"/>
                <w:szCs w:val="24"/>
                <w:shd w:val="clear"/>
                <w:lang w:val="en-US" w:eastAsia="zh-CN"/>
              </w:rPr>
              <w:t>本项目</w:t>
            </w:r>
            <w:r>
              <w:rPr>
                <w:rFonts w:hint="eastAsia" w:ascii="Times New Roman" w:cs="宋体"/>
                <w:b w:val="0"/>
                <w:color w:val="auto"/>
                <w:w w:val="100"/>
                <w:position w:val="0"/>
                <w:sz w:val="24"/>
                <w:szCs w:val="24"/>
                <w:shd w:val="clear"/>
                <w:lang w:val="en-US" w:eastAsia="zh-CN"/>
              </w:rPr>
              <w:t>不设置食堂，无食堂油烟，</w:t>
            </w:r>
            <w:r>
              <w:rPr>
                <w:rFonts w:hint="default" w:ascii="Times New Roman" w:hAnsi="宋体" w:eastAsia="宋体" w:cs="宋体"/>
                <w:b w:val="0"/>
                <w:color w:val="auto"/>
                <w:w w:val="100"/>
                <w:position w:val="0"/>
                <w:sz w:val="24"/>
                <w:szCs w:val="24"/>
                <w:shd w:val="clear"/>
                <w:lang w:val="en-US" w:eastAsia="zh-CN"/>
              </w:rPr>
              <w:t>其他建设内容、污染防治设施与环评文件、批复意见基本一致，本项目不属于重大变动。</w:t>
            </w:r>
          </w:p>
        </w:tc>
      </w:tr>
    </w:tbl>
    <w:p>
      <w:pPr>
        <w:pStyle w:val="21"/>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17" w:name="_Toc3631"/>
    </w:p>
    <w:p>
      <w:pPr>
        <w:pStyle w:val="21"/>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r>
        <w:rPr>
          <w:rFonts w:hint="default" w:ascii="宋体" w:hAnsi="宋体" w:eastAsia="宋体"/>
          <w:b/>
          <w:color w:val="auto"/>
          <w:position w:val="0"/>
          <w:sz w:val="24"/>
          <w:szCs w:val="24"/>
        </w:rPr>
        <w:t>表五</w:t>
      </w:r>
      <w:bookmarkEnd w:id="17"/>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10" w:hRule="atLeast"/>
        </w:trPr>
        <w:tc>
          <w:tcPr>
            <w:tcW w:w="5000" w:type="pct"/>
            <w:vAlign w:val="top"/>
          </w:tcPr>
          <w:p>
            <w:pPr>
              <w:pageBreakBefore w:val="0"/>
              <w:numPr>
                <w:ilvl w:val="0"/>
                <w:numId w:val="0"/>
              </w:numPr>
              <w:autoSpaceDE/>
              <w:autoSpaceDN/>
              <w:bidi w:val="0"/>
              <w:snapToGrid w:val="0"/>
              <w:spacing w:before="0" w:after="0" w:line="360" w:lineRule="auto"/>
              <w:ind w:right="0" w:firstLine="0"/>
              <w:jc w:val="both"/>
              <w:outlineLvl w:val="0"/>
              <w:rPr>
                <w:rFonts w:hint="default" w:ascii="Times New Roman" w:hAnsi="宋体" w:eastAsia="宋体"/>
                <w:b/>
                <w:color w:val="auto"/>
                <w:position w:val="0"/>
                <w:sz w:val="24"/>
                <w:szCs w:val="24"/>
              </w:rPr>
            </w:pPr>
            <w:bookmarkStart w:id="18" w:name="_Toc12205"/>
            <w:bookmarkStart w:id="19" w:name="_Toc8677"/>
            <w:bookmarkStart w:id="20" w:name="_Toc7757"/>
            <w:r>
              <w:rPr>
                <w:rFonts w:hint="default" w:ascii="Times New Roman" w:hAnsi="宋体" w:eastAsia="宋体"/>
                <w:b/>
                <w:color w:val="auto"/>
                <w:position w:val="0"/>
                <w:sz w:val="24"/>
                <w:szCs w:val="24"/>
              </w:rPr>
              <w:t>验收监测质量保证及质量控制：</w:t>
            </w:r>
            <w:bookmarkEnd w:id="18"/>
            <w:bookmarkEnd w:id="19"/>
            <w:bookmarkEnd w:id="20"/>
          </w:p>
          <w:p>
            <w:pPr>
              <w:pStyle w:val="40"/>
              <w:pageBreakBefore w:val="0"/>
              <w:numPr>
                <w:ilvl w:val="0"/>
                <w:numId w:val="0"/>
              </w:numPr>
              <w:autoSpaceDE w:val="0"/>
              <w:autoSpaceDN w:val="0"/>
              <w:bidi w:val="0"/>
              <w:snapToGrid/>
              <w:spacing w:before="0" w:after="160" w:line="360" w:lineRule="auto"/>
              <w:ind w:right="0" w:firstLine="482"/>
              <w:jc w:val="both"/>
              <w:rPr>
                <w:rFonts w:hint="default" w:ascii="Times New Roman" w:hAnsi="宋体" w:eastAsia="宋体"/>
                <w:b/>
                <w:color w:val="000000"/>
                <w:position w:val="0"/>
                <w:sz w:val="24"/>
                <w:szCs w:val="24"/>
              </w:rPr>
            </w:pPr>
            <w:r>
              <w:rPr>
                <w:rFonts w:hint="default" w:ascii="Times New Roman" w:hAnsi="宋体" w:eastAsia="宋体"/>
                <w:b/>
                <w:color w:val="000000"/>
                <w:position w:val="0"/>
                <w:sz w:val="24"/>
                <w:szCs w:val="24"/>
              </w:rPr>
              <w:t>1、本次验收检测采用的检测</w:t>
            </w:r>
            <w:r>
              <w:rPr>
                <w:rFonts w:hint="eastAsia" w:ascii="Times New Roman"/>
                <w:b/>
                <w:color w:val="000000"/>
                <w:position w:val="0"/>
                <w:sz w:val="24"/>
                <w:szCs w:val="24"/>
                <w:lang w:val="en-US" w:eastAsia="zh-CN"/>
              </w:rPr>
              <w:t>仪器和</w:t>
            </w:r>
            <w:r>
              <w:rPr>
                <w:rFonts w:hint="default" w:ascii="Times New Roman" w:hAnsi="宋体" w:eastAsia="宋体"/>
                <w:b/>
                <w:color w:val="000000"/>
                <w:position w:val="0"/>
                <w:sz w:val="24"/>
                <w:szCs w:val="24"/>
              </w:rPr>
              <w:t>方法</w:t>
            </w:r>
          </w:p>
          <w:p>
            <w:pPr>
              <w:jc w:val="both"/>
              <w:rPr>
                <w:rFonts w:hint="eastAsia" w:ascii="Times New Roman" w:hAnsi="宋体" w:eastAsia="宋体" w:cs="宋体"/>
                <w:color w:val="auto"/>
                <w:spacing w:val="0"/>
                <w:position w:val="0"/>
                <w:sz w:val="24"/>
                <w:szCs w:val="24"/>
              </w:rPr>
            </w:pPr>
            <w:r>
              <w:rPr>
                <w:rFonts w:hint="default" w:ascii="Times New Roman" w:hAnsi="宋体" w:eastAsia="宋体"/>
                <w:color w:val="auto"/>
                <w:spacing w:val="0"/>
                <w:position w:val="0"/>
                <w:sz w:val="24"/>
                <w:szCs w:val="24"/>
              </w:rPr>
              <w:t>采样方</w:t>
            </w:r>
            <w:r>
              <w:rPr>
                <w:rFonts w:hint="default" w:ascii="Times New Roman" w:hAnsi="宋体" w:eastAsia="宋体" w:cs="宋体"/>
                <w:color w:val="auto"/>
                <w:spacing w:val="0"/>
                <w:position w:val="0"/>
                <w:sz w:val="24"/>
                <w:szCs w:val="24"/>
              </w:rPr>
              <w:t>法执行</w:t>
            </w:r>
            <w:r>
              <w:rPr>
                <w:rFonts w:hint="eastAsia" w:ascii="Times New Roman" w:hAnsi="宋体" w:eastAsia="宋体" w:cs="宋体"/>
                <w:color w:val="auto"/>
                <w:spacing w:val="0"/>
                <w:position w:val="0"/>
                <w:sz w:val="24"/>
                <w:szCs w:val="24"/>
              </w:rPr>
              <w:t>《固定污染源排气中颗粒物测定与气态污染物采样方法 》</w:t>
            </w:r>
          </w:p>
          <w:p>
            <w:pPr>
              <w:jc w:val="both"/>
              <w:rPr>
                <w:rFonts w:hint="default" w:ascii="Times New Roman" w:hAnsi="宋体" w:eastAsia="宋体" w:cs="宋体"/>
                <w:color w:val="auto"/>
                <w:spacing w:val="0"/>
                <w:position w:val="0"/>
                <w:sz w:val="24"/>
                <w:szCs w:val="24"/>
              </w:rPr>
            </w:pPr>
            <w:r>
              <w:rPr>
                <w:rFonts w:hint="eastAsia" w:ascii="Times New Roman" w:hAnsi="宋体" w:eastAsia="宋体" w:cs="宋体"/>
                <w:color w:val="auto"/>
                <w:spacing w:val="0"/>
                <w:position w:val="0"/>
                <w:sz w:val="24"/>
                <w:szCs w:val="24"/>
              </w:rPr>
              <w:t>GB/T 16157-1996</w:t>
            </w:r>
            <w:r>
              <w:rPr>
                <w:rFonts w:hint="default" w:ascii="Times New Roman" w:hAnsi="宋体" w:eastAsia="宋体" w:cs="宋体"/>
                <w:color w:val="auto"/>
                <w:spacing w:val="0"/>
                <w:position w:val="0"/>
                <w:sz w:val="24"/>
                <w:szCs w:val="24"/>
              </w:rPr>
              <w:t>、</w:t>
            </w:r>
            <w:r>
              <w:rPr>
                <w:rFonts w:hint="eastAsia" w:ascii="Times New Roman" w:hAnsi="宋体" w:eastAsia="宋体" w:cs="宋体"/>
                <w:color w:val="auto"/>
                <w:spacing w:val="0"/>
                <w:position w:val="0"/>
                <w:sz w:val="24"/>
                <w:szCs w:val="24"/>
              </w:rPr>
              <w:t>《大气污染物无组织排放监测技术总则》HJ/T 55-2000</w:t>
            </w:r>
            <w:r>
              <w:rPr>
                <w:rFonts w:hint="default" w:ascii="Times New Roman" w:hAnsi="宋体" w:eastAsia="宋体" w:cs="宋体"/>
                <w:color w:val="auto"/>
                <w:spacing w:val="0"/>
                <w:position w:val="0"/>
                <w:sz w:val="24"/>
                <w:szCs w:val="24"/>
              </w:rPr>
              <w:t>、</w:t>
            </w:r>
            <w:r>
              <w:rPr>
                <w:rFonts w:hint="eastAsia" w:ascii="Times New Roman" w:hAnsi="宋体" w:eastAsia="宋体" w:cs="宋体"/>
                <w:color w:val="auto"/>
                <w:spacing w:val="0"/>
                <w:position w:val="0"/>
                <w:sz w:val="24"/>
                <w:szCs w:val="24"/>
              </w:rPr>
              <w:t>《工业企业厂界环境噪声排放标准》（GB12348-2008）</w:t>
            </w:r>
            <w:r>
              <w:rPr>
                <w:rFonts w:hint="default" w:ascii="Times New Roman" w:hAnsi="宋体" w:eastAsia="宋体" w:cs="宋体"/>
                <w:color w:val="auto"/>
                <w:spacing w:val="0"/>
                <w:position w:val="0"/>
                <w:sz w:val="24"/>
                <w:szCs w:val="24"/>
              </w:rPr>
              <w:t>，检测分析方法采用国家标准方法。</w:t>
            </w:r>
          </w:p>
          <w:p>
            <w:pPr>
              <w:jc w:val="both"/>
              <w:rPr>
                <w:rFonts w:hint="default" w:ascii="Times New Roman" w:hAnsi="宋体" w:eastAsia="宋体" w:cs="宋体"/>
                <w:color w:val="auto"/>
                <w:spacing w:val="0"/>
                <w:position w:val="0"/>
                <w:sz w:val="24"/>
                <w:szCs w:val="24"/>
              </w:rPr>
            </w:pPr>
            <w:r>
              <w:rPr>
                <w:rFonts w:hint="default" w:ascii="Times New Roman" w:hAnsi="宋体" w:eastAsia="宋体" w:cs="宋体"/>
                <w:color w:val="auto"/>
                <w:spacing w:val="0"/>
                <w:position w:val="0"/>
                <w:sz w:val="24"/>
                <w:szCs w:val="24"/>
              </w:rPr>
              <w:t>检测</w:t>
            </w:r>
            <w:r>
              <w:rPr>
                <w:rFonts w:hint="eastAsia" w:ascii="Times New Roman" w:hAnsi="宋体" w:eastAsia="宋体" w:cs="宋体"/>
                <w:color w:val="auto"/>
                <w:spacing w:val="0"/>
                <w:position w:val="0"/>
                <w:sz w:val="24"/>
                <w:szCs w:val="24"/>
                <w:lang w:val="en-US" w:eastAsia="zh-CN"/>
              </w:rPr>
              <w:t>仪器及</w:t>
            </w:r>
            <w:r>
              <w:rPr>
                <w:rFonts w:hint="default" w:ascii="Times New Roman" w:hAnsi="宋体" w:eastAsia="宋体" w:cs="宋体"/>
                <w:color w:val="auto"/>
                <w:spacing w:val="0"/>
                <w:position w:val="0"/>
                <w:sz w:val="24"/>
                <w:szCs w:val="24"/>
              </w:rPr>
              <w:t>分析方法详见表见表5-1</w:t>
            </w:r>
          </w:p>
          <w:p>
            <w:pPr>
              <w:pageBreakBefore w:val="0"/>
              <w:numPr>
                <w:ilvl w:val="0"/>
                <w:numId w:val="0"/>
              </w:numPr>
              <w:tabs>
                <w:tab w:val="left" w:pos="1200"/>
              </w:tabs>
              <w:autoSpaceDE/>
              <w:autoSpaceDN/>
              <w:bidi w:val="0"/>
              <w:snapToGrid/>
              <w:spacing w:before="0" w:after="0" w:line="360" w:lineRule="auto"/>
              <w:ind w:right="0" w:firstLine="48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表5-1检测</w:t>
            </w:r>
            <w:r>
              <w:rPr>
                <w:rFonts w:hint="eastAsia" w:ascii="Times New Roman" w:hAnsi="宋体" w:eastAsia="宋体"/>
                <w:color w:val="auto"/>
                <w:position w:val="0"/>
                <w:sz w:val="24"/>
                <w:szCs w:val="24"/>
                <w:lang w:val="en-US" w:eastAsia="zh-CN"/>
              </w:rPr>
              <w:t>仪器及</w:t>
            </w:r>
            <w:r>
              <w:rPr>
                <w:rFonts w:hint="default" w:ascii="Times New Roman" w:hAnsi="宋体" w:eastAsia="宋体"/>
                <w:color w:val="auto"/>
                <w:position w:val="0"/>
                <w:sz w:val="24"/>
                <w:szCs w:val="24"/>
              </w:rPr>
              <w:t>分析方法一览表</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59"/>
              <w:gridCol w:w="1091"/>
              <w:gridCol w:w="2829"/>
              <w:gridCol w:w="1257"/>
              <w:gridCol w:w="21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1106" w:type="dxa"/>
                  <w:tcBorders>
                    <w:top w:val="double" w:color="auto" w:sz="4" w:space="0"/>
                    <w:left w:val="nil"/>
                    <w:bottom w:val="single" w:color="auto" w:sz="4" w:space="0"/>
                    <w:right w:val="single" w:color="auto" w:sz="4" w:space="0"/>
                  </w:tcBorders>
                  <w:noWrap w:val="0"/>
                  <w:vAlign w:val="center"/>
                </w:tcPr>
                <w:p>
                  <w:pPr>
                    <w:spacing w:line="360" w:lineRule="auto"/>
                    <w:jc w:val="center"/>
                    <w:rPr>
                      <w:rFonts w:ascii="Times New Roman"/>
                      <w:color w:val="auto"/>
                      <w:sz w:val="21"/>
                      <w:szCs w:val="21"/>
                    </w:rPr>
                  </w:pPr>
                  <w:r>
                    <w:rPr>
                      <w:rFonts w:ascii="Times New Roman"/>
                      <w:color w:val="auto"/>
                      <w:sz w:val="21"/>
                      <w:szCs w:val="21"/>
                    </w:rPr>
                    <w:t>类别</w:t>
                  </w:r>
                </w:p>
              </w:tc>
              <w:tc>
                <w:tcPr>
                  <w:tcW w:w="1275" w:type="dxa"/>
                  <w:tcBorders>
                    <w:top w:val="doub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color w:val="auto"/>
                      <w:sz w:val="21"/>
                      <w:szCs w:val="21"/>
                    </w:rPr>
                  </w:pPr>
                  <w:r>
                    <w:rPr>
                      <w:rFonts w:ascii="Times New Roman"/>
                      <w:color w:val="auto"/>
                      <w:sz w:val="21"/>
                      <w:szCs w:val="21"/>
                    </w:rPr>
                    <w:t>检验项目</w:t>
                  </w:r>
                </w:p>
              </w:tc>
              <w:tc>
                <w:tcPr>
                  <w:tcW w:w="3270" w:type="dxa"/>
                  <w:tcBorders>
                    <w:top w:val="doub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color w:val="auto"/>
                      <w:sz w:val="21"/>
                      <w:szCs w:val="21"/>
                    </w:rPr>
                  </w:pPr>
                  <w:r>
                    <w:rPr>
                      <w:rFonts w:ascii="Times New Roman"/>
                      <w:color w:val="auto"/>
                      <w:sz w:val="21"/>
                      <w:szCs w:val="21"/>
                    </w:rPr>
                    <w:t>检测方法</w:t>
                  </w:r>
                </w:p>
              </w:tc>
              <w:tc>
                <w:tcPr>
                  <w:tcW w:w="1260" w:type="dxa"/>
                  <w:tcBorders>
                    <w:top w:val="doub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color w:val="auto"/>
                      <w:sz w:val="21"/>
                      <w:szCs w:val="21"/>
                    </w:rPr>
                  </w:pPr>
                  <w:r>
                    <w:rPr>
                      <w:rFonts w:ascii="Times New Roman"/>
                      <w:color w:val="auto"/>
                      <w:sz w:val="21"/>
                      <w:szCs w:val="21"/>
                    </w:rPr>
                    <w:t>检出限</w:t>
                  </w:r>
                </w:p>
              </w:tc>
              <w:tc>
                <w:tcPr>
                  <w:tcW w:w="2375" w:type="dxa"/>
                  <w:tcBorders>
                    <w:top w:val="double" w:color="auto" w:sz="4" w:space="0"/>
                    <w:left w:val="single" w:color="auto" w:sz="4" w:space="0"/>
                    <w:bottom w:val="single" w:color="auto" w:sz="4" w:space="0"/>
                    <w:right w:val="nil"/>
                  </w:tcBorders>
                  <w:noWrap w:val="0"/>
                  <w:vAlign w:val="center"/>
                </w:tcPr>
                <w:p>
                  <w:pPr>
                    <w:spacing w:line="360" w:lineRule="auto"/>
                    <w:jc w:val="center"/>
                    <w:rPr>
                      <w:rFonts w:ascii="Times New Roman"/>
                      <w:color w:val="auto"/>
                      <w:sz w:val="21"/>
                      <w:szCs w:val="21"/>
                    </w:rPr>
                  </w:pPr>
                  <w:r>
                    <w:rPr>
                      <w:rFonts w:ascii="Times New Roman"/>
                      <w:color w:val="auto"/>
                      <w:sz w:val="21"/>
                      <w:szCs w:val="21"/>
                    </w:rPr>
                    <w:t>主要检测仪器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7" w:hRule="atLeast"/>
                <w:jc w:val="center"/>
              </w:trPr>
              <w:tc>
                <w:tcPr>
                  <w:tcW w:w="1106" w:type="dxa"/>
                  <w:vMerge w:val="restart"/>
                  <w:tcBorders>
                    <w:top w:val="single" w:color="auto" w:sz="4" w:space="0"/>
                    <w:left w:val="nil"/>
                    <w:right w:val="single" w:color="auto" w:sz="4" w:space="0"/>
                  </w:tcBorders>
                  <w:noWrap w:val="0"/>
                  <w:vAlign w:val="center"/>
                </w:tcPr>
                <w:p>
                  <w:pPr>
                    <w:spacing w:line="360" w:lineRule="auto"/>
                    <w:jc w:val="center"/>
                    <w:rPr>
                      <w:rFonts w:hint="eastAsia" w:ascii="Times New Roman"/>
                      <w:color w:val="auto"/>
                      <w:sz w:val="21"/>
                      <w:szCs w:val="21"/>
                    </w:rPr>
                  </w:pPr>
                  <w:r>
                    <w:rPr>
                      <w:rFonts w:ascii="Times New Roman"/>
                      <w:color w:val="auto"/>
                      <w:sz w:val="21"/>
                      <w:szCs w:val="21"/>
                    </w:rPr>
                    <w:t>有组织废气</w:t>
                  </w:r>
                </w:p>
              </w:tc>
              <w:tc>
                <w:tcPr>
                  <w:tcW w:w="127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硫酸雾</w:t>
                  </w:r>
                </w:p>
              </w:tc>
              <w:tc>
                <w:tcPr>
                  <w:tcW w:w="327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HJ 544-2016固定污染源废气 硫酸雾的测定 离子色谱法</w:t>
                  </w:r>
                </w:p>
              </w:tc>
              <w:tc>
                <w:tcPr>
                  <w:tcW w:w="126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0.2mg/m</w:t>
                  </w:r>
                  <w:r>
                    <w:rPr>
                      <w:rFonts w:hint="eastAsia" w:ascii="Times New Roman"/>
                      <w:sz w:val="21"/>
                      <w:szCs w:val="21"/>
                      <w:vertAlign w:val="superscript"/>
                    </w:rPr>
                    <w:t>3</w:t>
                  </w:r>
                </w:p>
              </w:tc>
              <w:tc>
                <w:tcPr>
                  <w:tcW w:w="2375" w:type="dxa"/>
                  <w:tcBorders>
                    <w:top w:val="single" w:color="auto" w:sz="4" w:space="0"/>
                    <w:left w:val="single" w:color="auto" w:sz="4" w:space="0"/>
                    <w:right w:val="nil"/>
                  </w:tcBorders>
                  <w:noWrap w:val="0"/>
                  <w:vAlign w:val="center"/>
                </w:tcPr>
                <w:p>
                  <w:pPr>
                    <w:spacing w:line="360" w:lineRule="auto"/>
                    <w:jc w:val="center"/>
                    <w:rPr>
                      <w:rFonts w:ascii="Times New Roman"/>
                      <w:sz w:val="21"/>
                      <w:szCs w:val="21"/>
                    </w:rPr>
                  </w:pPr>
                  <w:r>
                    <w:rPr>
                      <w:rFonts w:hint="eastAsia" w:ascii="Times New Roman"/>
                      <w:sz w:val="21"/>
                      <w:szCs w:val="21"/>
                    </w:rPr>
                    <w:t xml:space="preserve">低浓度自动烟尘烟气综合测试仪ZR-3260D型 </w:t>
                  </w:r>
                </w:p>
                <w:p>
                  <w:pPr>
                    <w:spacing w:line="360" w:lineRule="auto"/>
                    <w:jc w:val="center"/>
                    <w:rPr>
                      <w:rFonts w:hint="eastAsia" w:ascii="Times New Roman" w:cs="宋体"/>
                      <w:sz w:val="21"/>
                      <w:szCs w:val="21"/>
                    </w:rPr>
                  </w:pPr>
                  <w:r>
                    <w:rPr>
                      <w:rFonts w:hint="eastAsia" w:ascii="Times New Roman"/>
                      <w:sz w:val="21"/>
                      <w:szCs w:val="21"/>
                    </w:rPr>
                    <w:t xml:space="preserve">离子色谱仪IC6000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7" w:hRule="atLeast"/>
                <w:jc w:val="center"/>
              </w:trPr>
              <w:tc>
                <w:tcPr>
                  <w:tcW w:w="1106" w:type="dxa"/>
                  <w:vMerge w:val="continue"/>
                  <w:tcBorders>
                    <w:left w:val="nil"/>
                    <w:right w:val="single" w:color="auto" w:sz="4" w:space="0"/>
                  </w:tcBorders>
                  <w:noWrap w:val="0"/>
                  <w:vAlign w:val="center"/>
                </w:tcPr>
                <w:p>
                  <w:pPr>
                    <w:spacing w:line="360" w:lineRule="auto"/>
                    <w:jc w:val="center"/>
                    <w:rPr>
                      <w:rFonts w:ascii="Times New Roman"/>
                      <w:color w:val="auto"/>
                      <w:sz w:val="21"/>
                      <w:szCs w:val="21"/>
                    </w:rPr>
                  </w:pPr>
                </w:p>
              </w:tc>
              <w:tc>
                <w:tcPr>
                  <w:tcW w:w="127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氨</w:t>
                  </w:r>
                </w:p>
              </w:tc>
              <w:tc>
                <w:tcPr>
                  <w:tcW w:w="327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HJ 533-2009环境空气和废气 氨的测定 纳氏试剂分光光度法</w:t>
                  </w:r>
                </w:p>
              </w:tc>
              <w:tc>
                <w:tcPr>
                  <w:tcW w:w="126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0.25mg/m</w:t>
                  </w:r>
                  <w:r>
                    <w:rPr>
                      <w:rFonts w:hint="eastAsia" w:ascii="Times New Roman"/>
                      <w:sz w:val="21"/>
                      <w:szCs w:val="21"/>
                      <w:vertAlign w:val="superscript"/>
                    </w:rPr>
                    <w:t>3</w:t>
                  </w:r>
                </w:p>
              </w:tc>
              <w:tc>
                <w:tcPr>
                  <w:tcW w:w="2375" w:type="dxa"/>
                  <w:tcBorders>
                    <w:top w:val="single" w:color="auto" w:sz="4" w:space="0"/>
                    <w:left w:val="single" w:color="auto" w:sz="4" w:space="0"/>
                    <w:right w:val="nil"/>
                  </w:tcBorders>
                  <w:noWrap w:val="0"/>
                  <w:vAlign w:val="center"/>
                </w:tcPr>
                <w:p>
                  <w:pPr>
                    <w:spacing w:line="360" w:lineRule="auto"/>
                    <w:jc w:val="center"/>
                    <w:rPr>
                      <w:rFonts w:hint="eastAsia" w:ascii="Times New Roman"/>
                      <w:sz w:val="21"/>
                      <w:szCs w:val="21"/>
                    </w:rPr>
                  </w:pPr>
                  <w:r>
                    <w:rPr>
                      <w:rFonts w:hint="eastAsia" w:ascii="Times New Roman"/>
                      <w:sz w:val="21"/>
                      <w:szCs w:val="21"/>
                    </w:rPr>
                    <w:t>双路烟气采样器ZR-3710型</w:t>
                  </w:r>
                  <w:r>
                    <w:rPr>
                      <w:rFonts w:hint="eastAsia" w:ascii="Times New Roman"/>
                      <w:sz w:val="21"/>
                      <w:szCs w:val="21"/>
                    </w:rPr>
                    <w:br w:type="textWrapping"/>
                  </w:r>
                  <w:r>
                    <w:rPr>
                      <w:rFonts w:hint="eastAsia" w:ascii="Times New Roman"/>
                      <w:sz w:val="21"/>
                      <w:szCs w:val="21"/>
                    </w:rPr>
                    <w:t>紫外可见分光光度计</w:t>
                  </w:r>
                  <w:r>
                    <w:rPr>
                      <w:rFonts w:ascii="Times New Roman"/>
                      <w:sz w:val="21"/>
                      <w:szCs w:val="21"/>
                    </w:rPr>
                    <w:t>UV-6100PC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7" w:hRule="atLeast"/>
                <w:jc w:val="center"/>
              </w:trPr>
              <w:tc>
                <w:tcPr>
                  <w:tcW w:w="1106" w:type="dxa"/>
                  <w:vMerge w:val="restart"/>
                  <w:tcBorders>
                    <w:top w:val="single" w:color="auto" w:sz="4" w:space="0"/>
                    <w:left w:val="nil"/>
                    <w:right w:val="single" w:color="auto" w:sz="4" w:space="0"/>
                  </w:tcBorders>
                  <w:noWrap w:val="0"/>
                  <w:vAlign w:val="center"/>
                </w:tcPr>
                <w:p>
                  <w:pPr>
                    <w:spacing w:line="360" w:lineRule="auto"/>
                    <w:jc w:val="center"/>
                    <w:rPr>
                      <w:rFonts w:hint="eastAsia" w:ascii="Times New Roman" w:cs="宋体"/>
                      <w:color w:val="auto"/>
                      <w:sz w:val="21"/>
                      <w:szCs w:val="21"/>
                    </w:rPr>
                  </w:pPr>
                  <w:r>
                    <w:rPr>
                      <w:rFonts w:hint="eastAsia" w:ascii="Times New Roman" w:cs="宋体"/>
                      <w:color w:val="auto"/>
                      <w:sz w:val="21"/>
                      <w:szCs w:val="21"/>
                    </w:rPr>
                    <w:t>无组织废气</w:t>
                  </w:r>
                </w:p>
              </w:tc>
              <w:tc>
                <w:tcPr>
                  <w:tcW w:w="127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氨</w:t>
                  </w:r>
                </w:p>
              </w:tc>
              <w:tc>
                <w:tcPr>
                  <w:tcW w:w="327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HJ 533-2009环境空气和废气 氨的测定 纳氏试剂分光光度法</w:t>
                  </w:r>
                </w:p>
              </w:tc>
              <w:tc>
                <w:tcPr>
                  <w:tcW w:w="126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0.01mg/m</w:t>
                  </w:r>
                  <w:r>
                    <w:rPr>
                      <w:rFonts w:hint="eastAsia" w:ascii="Times New Roman"/>
                      <w:sz w:val="21"/>
                      <w:szCs w:val="21"/>
                      <w:vertAlign w:val="superscript"/>
                    </w:rPr>
                    <w:t>3</w:t>
                  </w:r>
                </w:p>
              </w:tc>
              <w:tc>
                <w:tcPr>
                  <w:tcW w:w="2375" w:type="dxa"/>
                  <w:tcBorders>
                    <w:top w:val="single" w:color="auto" w:sz="4" w:space="0"/>
                    <w:left w:val="single" w:color="auto" w:sz="4" w:space="0"/>
                    <w:right w:val="nil"/>
                  </w:tcBorders>
                  <w:noWrap w:val="0"/>
                  <w:vAlign w:val="center"/>
                </w:tcPr>
                <w:p>
                  <w:pPr>
                    <w:spacing w:line="360" w:lineRule="auto"/>
                    <w:jc w:val="center"/>
                    <w:rPr>
                      <w:rFonts w:ascii="Times New Roman"/>
                      <w:sz w:val="21"/>
                      <w:szCs w:val="21"/>
                    </w:rPr>
                  </w:pPr>
                  <w:r>
                    <w:rPr>
                      <w:rFonts w:hint="eastAsia" w:ascii="Times New Roman"/>
                      <w:sz w:val="21"/>
                      <w:szCs w:val="21"/>
                    </w:rPr>
                    <w:t>环境空气颗粒物综合采样器ZR-3922型</w:t>
                  </w:r>
                </w:p>
                <w:p>
                  <w:pPr>
                    <w:spacing w:line="360" w:lineRule="auto"/>
                    <w:jc w:val="center"/>
                    <w:rPr>
                      <w:rFonts w:hint="eastAsia" w:ascii="Times New Roman" w:cs="宋体"/>
                      <w:sz w:val="21"/>
                      <w:szCs w:val="21"/>
                    </w:rPr>
                  </w:pPr>
                  <w:r>
                    <w:rPr>
                      <w:rFonts w:hint="eastAsia" w:ascii="Times New Roman"/>
                      <w:sz w:val="21"/>
                      <w:szCs w:val="21"/>
                    </w:rPr>
                    <w:t>紫外可见分光光度计</w:t>
                  </w:r>
                  <w:r>
                    <w:rPr>
                      <w:rFonts w:ascii="Times New Roman"/>
                      <w:sz w:val="21"/>
                      <w:szCs w:val="21"/>
                    </w:rPr>
                    <w:t>UV-6100PC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7" w:hRule="atLeast"/>
                <w:jc w:val="center"/>
              </w:trPr>
              <w:tc>
                <w:tcPr>
                  <w:tcW w:w="1106" w:type="dxa"/>
                  <w:vMerge w:val="continue"/>
                  <w:tcBorders>
                    <w:left w:val="nil"/>
                    <w:right w:val="single" w:color="auto" w:sz="4" w:space="0"/>
                  </w:tcBorders>
                  <w:noWrap w:val="0"/>
                  <w:vAlign w:val="center"/>
                </w:tcPr>
                <w:p>
                  <w:pPr>
                    <w:spacing w:line="360" w:lineRule="auto"/>
                    <w:jc w:val="center"/>
                    <w:rPr>
                      <w:rFonts w:ascii="Times New Roman"/>
                      <w:color w:val="auto"/>
                      <w:sz w:val="21"/>
                      <w:szCs w:val="21"/>
                    </w:rPr>
                  </w:pPr>
                </w:p>
              </w:tc>
              <w:tc>
                <w:tcPr>
                  <w:tcW w:w="127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硫化氢</w:t>
                  </w:r>
                </w:p>
              </w:tc>
              <w:tc>
                <w:tcPr>
                  <w:tcW w:w="327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国家环保总局(2003)第四版(增补版) 空气和废气监测分析方法 第三篇 第一章十一(二)亚甲基蓝分光光度法(B)</w:t>
                  </w:r>
                </w:p>
              </w:tc>
              <w:tc>
                <w:tcPr>
                  <w:tcW w:w="126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0.001mg/m</w:t>
                  </w:r>
                  <w:r>
                    <w:rPr>
                      <w:rFonts w:hint="eastAsia" w:ascii="Times New Roman"/>
                      <w:sz w:val="21"/>
                      <w:szCs w:val="21"/>
                      <w:vertAlign w:val="superscript"/>
                    </w:rPr>
                    <w:t>3</w:t>
                  </w:r>
                </w:p>
              </w:tc>
              <w:tc>
                <w:tcPr>
                  <w:tcW w:w="2375" w:type="dxa"/>
                  <w:tcBorders>
                    <w:top w:val="single" w:color="auto" w:sz="4" w:space="0"/>
                    <w:left w:val="single" w:color="auto" w:sz="4" w:space="0"/>
                    <w:right w:val="nil"/>
                  </w:tcBorders>
                  <w:noWrap w:val="0"/>
                  <w:vAlign w:val="center"/>
                </w:tcPr>
                <w:p>
                  <w:pPr>
                    <w:spacing w:line="360" w:lineRule="auto"/>
                    <w:jc w:val="center"/>
                    <w:rPr>
                      <w:rFonts w:ascii="Times New Roman"/>
                      <w:sz w:val="21"/>
                      <w:szCs w:val="21"/>
                    </w:rPr>
                  </w:pPr>
                  <w:r>
                    <w:rPr>
                      <w:rFonts w:hint="eastAsia" w:ascii="Times New Roman"/>
                      <w:sz w:val="21"/>
                      <w:szCs w:val="21"/>
                    </w:rPr>
                    <w:t>环境空气颗粒物综合采样器ZR-3922型</w:t>
                  </w:r>
                </w:p>
                <w:p>
                  <w:pPr>
                    <w:spacing w:line="360" w:lineRule="auto"/>
                    <w:jc w:val="center"/>
                    <w:rPr>
                      <w:rFonts w:hint="eastAsia" w:ascii="Times New Roman" w:cs="宋体"/>
                      <w:sz w:val="21"/>
                      <w:szCs w:val="21"/>
                    </w:rPr>
                  </w:pPr>
                  <w:r>
                    <w:rPr>
                      <w:rFonts w:hint="eastAsia" w:ascii="Times New Roman"/>
                      <w:sz w:val="21"/>
                      <w:szCs w:val="21"/>
                    </w:rPr>
                    <w:t>紫外可见分光光度计</w:t>
                  </w:r>
                  <w:r>
                    <w:rPr>
                      <w:rFonts w:ascii="Times New Roman"/>
                      <w:sz w:val="21"/>
                      <w:szCs w:val="21"/>
                    </w:rPr>
                    <w:t>UV-6100PC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7" w:hRule="atLeast"/>
                <w:jc w:val="center"/>
              </w:trPr>
              <w:tc>
                <w:tcPr>
                  <w:tcW w:w="1106" w:type="dxa"/>
                  <w:vMerge w:val="continue"/>
                  <w:tcBorders>
                    <w:left w:val="nil"/>
                    <w:right w:val="single" w:color="auto" w:sz="4" w:space="0"/>
                  </w:tcBorders>
                  <w:noWrap w:val="0"/>
                  <w:vAlign w:val="center"/>
                </w:tcPr>
                <w:p>
                  <w:pPr>
                    <w:spacing w:line="360" w:lineRule="auto"/>
                    <w:jc w:val="center"/>
                    <w:rPr>
                      <w:rFonts w:ascii="Times New Roman"/>
                      <w:color w:val="auto"/>
                      <w:sz w:val="21"/>
                      <w:szCs w:val="21"/>
                    </w:rPr>
                  </w:pPr>
                </w:p>
              </w:tc>
              <w:tc>
                <w:tcPr>
                  <w:tcW w:w="127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sz w:val="21"/>
                      <w:szCs w:val="21"/>
                    </w:rPr>
                  </w:pPr>
                  <w:r>
                    <w:rPr>
                      <w:rFonts w:hint="eastAsia" w:hAnsi="宋体" w:cs="宋体"/>
                      <w:sz w:val="21"/>
                      <w:szCs w:val="21"/>
                    </w:rPr>
                    <w:t>硫酸雾</w:t>
                  </w:r>
                </w:p>
              </w:tc>
              <w:tc>
                <w:tcPr>
                  <w:tcW w:w="327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sz w:val="21"/>
                      <w:szCs w:val="21"/>
                    </w:rPr>
                  </w:pPr>
                  <w:r>
                    <w:rPr>
                      <w:rFonts w:hint="eastAsia" w:ascii="Times New Roman"/>
                      <w:sz w:val="21"/>
                      <w:szCs w:val="21"/>
                    </w:rPr>
                    <w:t>HJ 544-2016固定污染源废气 硫酸雾的测定 离子色谱法</w:t>
                  </w:r>
                </w:p>
              </w:tc>
              <w:tc>
                <w:tcPr>
                  <w:tcW w:w="126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sz w:val="21"/>
                      <w:szCs w:val="21"/>
                    </w:rPr>
                  </w:pPr>
                  <w:r>
                    <w:rPr>
                      <w:rFonts w:hint="eastAsia" w:ascii="Times New Roman"/>
                      <w:sz w:val="21"/>
                      <w:szCs w:val="21"/>
                    </w:rPr>
                    <w:t>0.005mg/m</w:t>
                  </w:r>
                  <w:r>
                    <w:rPr>
                      <w:rFonts w:hint="eastAsia" w:ascii="Times New Roman"/>
                      <w:sz w:val="21"/>
                      <w:szCs w:val="21"/>
                      <w:vertAlign w:val="superscript"/>
                    </w:rPr>
                    <w:t>3</w:t>
                  </w:r>
                </w:p>
              </w:tc>
              <w:tc>
                <w:tcPr>
                  <w:tcW w:w="2375" w:type="dxa"/>
                  <w:tcBorders>
                    <w:top w:val="single" w:color="auto" w:sz="4" w:space="0"/>
                    <w:left w:val="single" w:color="auto" w:sz="4" w:space="0"/>
                    <w:right w:val="nil"/>
                  </w:tcBorders>
                  <w:noWrap w:val="0"/>
                  <w:vAlign w:val="center"/>
                </w:tcPr>
                <w:p>
                  <w:pPr>
                    <w:spacing w:line="360" w:lineRule="auto"/>
                    <w:jc w:val="center"/>
                    <w:rPr>
                      <w:rFonts w:ascii="Times New Roman"/>
                      <w:sz w:val="21"/>
                      <w:szCs w:val="21"/>
                    </w:rPr>
                  </w:pPr>
                  <w:r>
                    <w:rPr>
                      <w:rFonts w:hint="eastAsia" w:ascii="Times New Roman"/>
                      <w:sz w:val="21"/>
                      <w:szCs w:val="21"/>
                    </w:rPr>
                    <w:t>环境空气颗粒物综合采样器ZR-3922型</w:t>
                  </w:r>
                </w:p>
                <w:p>
                  <w:pPr>
                    <w:spacing w:line="360" w:lineRule="auto"/>
                    <w:jc w:val="center"/>
                    <w:rPr>
                      <w:rFonts w:hint="eastAsia" w:ascii="Times New Roman"/>
                      <w:sz w:val="21"/>
                      <w:szCs w:val="21"/>
                    </w:rPr>
                  </w:pPr>
                  <w:r>
                    <w:rPr>
                      <w:rFonts w:hint="eastAsia" w:ascii="Times New Roman"/>
                      <w:sz w:val="21"/>
                      <w:szCs w:val="21"/>
                    </w:rPr>
                    <w:t>离子色谱仪 IC6000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06" w:type="dxa"/>
                  <w:vMerge w:val="continue"/>
                  <w:tcBorders>
                    <w:left w:val="nil"/>
                    <w:right w:val="single" w:color="auto" w:sz="4" w:space="0"/>
                  </w:tcBorders>
                  <w:noWrap w:val="0"/>
                  <w:vAlign w:val="center"/>
                </w:tcPr>
                <w:p>
                  <w:pPr>
                    <w:spacing w:line="360" w:lineRule="auto"/>
                    <w:jc w:val="center"/>
                    <w:rPr>
                      <w:rFonts w:hint="eastAsia" w:ascii="Times New Roman" w:cs="宋体"/>
                      <w:color w:val="auto"/>
                      <w:sz w:val="21"/>
                      <w:szCs w:val="21"/>
                    </w:rPr>
                  </w:pPr>
                </w:p>
              </w:tc>
              <w:tc>
                <w:tcPr>
                  <w:tcW w:w="127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臭气浓度</w:t>
                  </w:r>
                </w:p>
              </w:tc>
              <w:tc>
                <w:tcPr>
                  <w:tcW w:w="3270" w:type="dxa"/>
                  <w:tcBorders>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GB/T 14675-1993空气质量 恶臭的测定 三点比较式臭袋法</w:t>
                  </w:r>
                </w:p>
              </w:tc>
              <w:tc>
                <w:tcPr>
                  <w:tcW w:w="1260" w:type="dxa"/>
                  <w:tcBorders>
                    <w:left w:val="single" w:color="auto" w:sz="4" w:space="0"/>
                    <w:right w:val="single" w:color="auto" w:sz="4" w:space="0"/>
                  </w:tcBorders>
                  <w:noWrap w:val="0"/>
                  <w:vAlign w:val="center"/>
                </w:tcPr>
                <w:p>
                  <w:pPr>
                    <w:spacing w:line="360" w:lineRule="auto"/>
                    <w:jc w:val="center"/>
                    <w:rPr>
                      <w:rFonts w:hint="eastAsia" w:ascii="Times New Roman" w:cs="宋体"/>
                      <w:sz w:val="21"/>
                      <w:szCs w:val="21"/>
                    </w:rPr>
                  </w:pPr>
                  <w:r>
                    <w:rPr>
                      <w:rFonts w:hint="eastAsia" w:ascii="Times New Roman"/>
                      <w:sz w:val="21"/>
                      <w:szCs w:val="21"/>
                    </w:rPr>
                    <w:t>/</w:t>
                  </w:r>
                </w:p>
              </w:tc>
              <w:tc>
                <w:tcPr>
                  <w:tcW w:w="2375" w:type="dxa"/>
                  <w:tcBorders>
                    <w:left w:val="single" w:color="auto" w:sz="4" w:space="0"/>
                    <w:right w:val="nil"/>
                  </w:tcBorders>
                  <w:noWrap w:val="0"/>
                  <w:vAlign w:val="center"/>
                </w:tcPr>
                <w:p>
                  <w:pPr>
                    <w:spacing w:line="360" w:lineRule="auto"/>
                    <w:jc w:val="center"/>
                    <w:rPr>
                      <w:rFonts w:ascii="Times New Roman"/>
                      <w:sz w:val="21"/>
                      <w:szCs w:val="21"/>
                    </w:rPr>
                  </w:pPr>
                  <w:r>
                    <w:rPr>
                      <w:rFonts w:hint="eastAsia" w:ascii="Times New Roman"/>
                      <w:sz w:val="21"/>
                      <w:szCs w:val="21"/>
                    </w:rPr>
                    <w:t>气体真空采样箱</w:t>
                  </w:r>
                </w:p>
                <w:p>
                  <w:pPr>
                    <w:spacing w:line="360" w:lineRule="auto"/>
                    <w:jc w:val="center"/>
                    <w:rPr>
                      <w:rFonts w:hint="eastAsia" w:ascii="Times New Roman" w:cs="宋体"/>
                      <w:sz w:val="21"/>
                      <w:szCs w:val="21"/>
                    </w:rPr>
                  </w:pPr>
                  <w:r>
                    <w:rPr>
                      <w:rFonts w:hint="eastAsia" w:ascii="Times New Roman"/>
                      <w:sz w:val="21"/>
                      <w:szCs w:val="21"/>
                    </w:rPr>
                    <w:t>聚酯无臭袋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0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Times New Roman" w:cs="宋体"/>
                      <w:color w:val="auto"/>
                      <w:sz w:val="21"/>
                      <w:szCs w:val="21"/>
                    </w:rPr>
                  </w:pPr>
                  <w:r>
                    <w:rPr>
                      <w:rFonts w:hint="eastAsia" w:ascii="Times New Roman" w:cs="宋体"/>
                      <w:color w:val="auto"/>
                      <w:sz w:val="21"/>
                      <w:szCs w:val="21"/>
                    </w:rPr>
                    <w:t>工业企业厂界环境噪声</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spacing w:line="360" w:lineRule="auto"/>
                    <w:jc w:val="center"/>
                    <w:rPr>
                      <w:rFonts w:ascii="Times New Roman"/>
                      <w:color w:val="auto"/>
                      <w:sz w:val="21"/>
                      <w:szCs w:val="21"/>
                    </w:rPr>
                  </w:pPr>
                  <w:r>
                    <w:rPr>
                      <w:rFonts w:hint="eastAsia" w:ascii="Times New Roman"/>
                      <w:color w:val="auto"/>
                      <w:sz w:val="21"/>
                      <w:szCs w:val="21"/>
                    </w:rPr>
                    <w:t>等效连续A声级</w:t>
                  </w:r>
                </w:p>
              </w:tc>
              <w:tc>
                <w:tcPr>
                  <w:tcW w:w="3270"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spacing w:line="360" w:lineRule="auto"/>
                    <w:jc w:val="center"/>
                    <w:rPr>
                      <w:rFonts w:ascii="Times New Roman"/>
                      <w:color w:val="auto"/>
                      <w:sz w:val="21"/>
                      <w:szCs w:val="21"/>
                    </w:rPr>
                  </w:pPr>
                  <w:r>
                    <w:rPr>
                      <w:rFonts w:hint="eastAsia" w:ascii="Times New Roman"/>
                      <w:color w:val="auto"/>
                      <w:sz w:val="21"/>
                      <w:szCs w:val="21"/>
                    </w:rPr>
                    <w:t>GB 12348-2008工业企业厂界环境噪声排放标准</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cs="宋体"/>
                      <w:color w:val="auto"/>
                      <w:sz w:val="21"/>
                      <w:szCs w:val="21"/>
                    </w:rPr>
                  </w:pPr>
                  <w:r>
                    <w:rPr>
                      <w:rFonts w:hint="eastAsia" w:ascii="Times New Roman" w:cs="宋体"/>
                      <w:color w:val="auto"/>
                      <w:sz w:val="21"/>
                      <w:szCs w:val="21"/>
                    </w:rPr>
                    <w:t>/</w:t>
                  </w:r>
                </w:p>
              </w:tc>
              <w:tc>
                <w:tcPr>
                  <w:tcW w:w="2375" w:type="dxa"/>
                  <w:tcBorders>
                    <w:top w:val="single" w:color="auto" w:sz="4" w:space="0"/>
                    <w:left w:val="single" w:color="auto" w:sz="4" w:space="0"/>
                    <w:bottom w:val="single" w:color="auto" w:sz="4" w:space="0"/>
                    <w:right w:val="nil"/>
                  </w:tcBorders>
                  <w:noWrap w:val="0"/>
                  <w:vAlign w:val="center"/>
                </w:tcPr>
                <w:p>
                  <w:pPr>
                    <w:tabs>
                      <w:tab w:val="left" w:pos="9795"/>
                    </w:tabs>
                    <w:spacing w:line="360" w:lineRule="auto"/>
                    <w:jc w:val="center"/>
                    <w:rPr>
                      <w:rFonts w:hint="eastAsia" w:ascii="Times New Roman"/>
                      <w:color w:val="auto"/>
                      <w:sz w:val="21"/>
                      <w:szCs w:val="21"/>
                    </w:rPr>
                  </w:pPr>
                  <w:r>
                    <w:rPr>
                      <w:rFonts w:hint="eastAsia" w:ascii="Times New Roman"/>
                      <w:color w:val="auto"/>
                      <w:sz w:val="21"/>
                      <w:szCs w:val="21"/>
                    </w:rPr>
                    <w:t>多功能声级计AWA6228+</w:t>
                  </w:r>
                </w:p>
                <w:p>
                  <w:pPr>
                    <w:tabs>
                      <w:tab w:val="left" w:pos="9795"/>
                    </w:tabs>
                    <w:spacing w:line="360" w:lineRule="auto"/>
                    <w:jc w:val="center"/>
                    <w:rPr>
                      <w:rFonts w:hint="eastAsia" w:ascii="Times New Roman"/>
                      <w:color w:val="auto"/>
                      <w:sz w:val="21"/>
                      <w:szCs w:val="21"/>
                    </w:rPr>
                  </w:pPr>
                  <w:r>
                    <w:rPr>
                      <w:rFonts w:hint="eastAsia" w:ascii="Times New Roman"/>
                      <w:color w:val="auto"/>
                      <w:sz w:val="21"/>
                      <w:szCs w:val="21"/>
                    </w:rPr>
                    <w:t>声校准器 AWA6221A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06" w:type="dxa"/>
                  <w:tcBorders>
                    <w:left w:val="nil"/>
                    <w:bottom w:val="single" w:color="auto" w:sz="4" w:space="0"/>
                    <w:right w:val="single" w:color="auto" w:sz="4" w:space="0"/>
                  </w:tcBorders>
                  <w:noWrap w:val="0"/>
                  <w:vAlign w:val="center"/>
                </w:tcPr>
                <w:p>
                  <w:pPr>
                    <w:spacing w:line="360" w:lineRule="auto"/>
                    <w:jc w:val="center"/>
                    <w:rPr>
                      <w:rFonts w:hint="eastAsia" w:ascii="Times New Roman" w:cs="宋体"/>
                      <w:color w:val="auto"/>
                      <w:sz w:val="21"/>
                      <w:szCs w:val="21"/>
                    </w:rPr>
                  </w:pPr>
                  <w:r>
                    <w:rPr>
                      <w:rFonts w:hint="eastAsia" w:ascii="Times New Roman" w:cs="宋体"/>
                      <w:color w:val="auto"/>
                      <w:sz w:val="21"/>
                      <w:szCs w:val="21"/>
                    </w:rPr>
                    <w:t>污水</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spacing w:line="360" w:lineRule="auto"/>
                    <w:jc w:val="center"/>
                    <w:rPr>
                      <w:rFonts w:hint="eastAsia" w:ascii="Times New Roman"/>
                      <w:color w:val="auto"/>
                      <w:sz w:val="21"/>
                      <w:szCs w:val="21"/>
                    </w:rPr>
                  </w:pPr>
                  <w:r>
                    <w:rPr>
                      <w:rFonts w:hint="eastAsia" w:ascii="Times New Roman"/>
                      <w:color w:val="auto"/>
                      <w:sz w:val="21"/>
                      <w:szCs w:val="21"/>
                    </w:rPr>
                    <w:t>化学需氧量</w:t>
                  </w:r>
                </w:p>
              </w:tc>
              <w:tc>
                <w:tcPr>
                  <w:tcW w:w="3270"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spacing w:line="360" w:lineRule="auto"/>
                    <w:jc w:val="center"/>
                    <w:rPr>
                      <w:rFonts w:hint="eastAsia" w:ascii="Times New Roman"/>
                      <w:color w:val="auto"/>
                      <w:sz w:val="21"/>
                      <w:szCs w:val="21"/>
                    </w:rPr>
                  </w:pPr>
                  <w:r>
                    <w:rPr>
                      <w:rFonts w:hint="eastAsia" w:ascii="Times New Roman"/>
                      <w:color w:val="auto"/>
                      <w:sz w:val="21"/>
                      <w:szCs w:val="21"/>
                    </w:rPr>
                    <w:t>HJ 828-2017水质 化学需氧量的测定 重铬酸盐法</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spacing w:line="360" w:lineRule="auto"/>
                    <w:jc w:val="center"/>
                    <w:rPr>
                      <w:rFonts w:hint="eastAsia" w:ascii="Times New Roman" w:cs="宋体"/>
                      <w:color w:val="auto"/>
                      <w:sz w:val="21"/>
                      <w:szCs w:val="21"/>
                    </w:rPr>
                  </w:pPr>
                  <w:r>
                    <w:rPr>
                      <w:rFonts w:ascii="Times New Roman"/>
                      <w:color w:val="auto"/>
                      <w:sz w:val="21"/>
                      <w:szCs w:val="21"/>
                    </w:rPr>
                    <w:t>4mg/L</w:t>
                  </w:r>
                </w:p>
              </w:tc>
              <w:tc>
                <w:tcPr>
                  <w:tcW w:w="2375" w:type="dxa"/>
                  <w:tcBorders>
                    <w:top w:val="single" w:color="auto" w:sz="4" w:space="0"/>
                    <w:left w:val="single" w:color="auto" w:sz="4" w:space="0"/>
                    <w:bottom w:val="single" w:color="auto" w:sz="4" w:space="0"/>
                    <w:right w:val="nil"/>
                  </w:tcBorders>
                  <w:noWrap w:val="0"/>
                  <w:vAlign w:val="center"/>
                </w:tcPr>
                <w:p>
                  <w:pPr>
                    <w:tabs>
                      <w:tab w:val="left" w:pos="9795"/>
                    </w:tabs>
                    <w:spacing w:line="360" w:lineRule="auto"/>
                    <w:jc w:val="center"/>
                    <w:rPr>
                      <w:rFonts w:hint="eastAsia" w:ascii="Times New Roman"/>
                      <w:color w:val="auto"/>
                      <w:sz w:val="21"/>
                      <w:szCs w:val="21"/>
                    </w:rPr>
                  </w:pPr>
                  <w:r>
                    <w:rPr>
                      <w:rFonts w:hint="eastAsia" w:ascii="Times New Roman"/>
                      <w:color w:val="auto"/>
                      <w:sz w:val="21"/>
                      <w:szCs w:val="21"/>
                    </w:rPr>
                    <w:t>具塞滴定管</w:t>
                  </w:r>
                </w:p>
              </w:tc>
            </w:tr>
          </w:tbl>
          <w:p>
            <w:pPr>
              <w:pStyle w:val="40"/>
              <w:numPr>
                <w:ilvl w:val="0"/>
                <w:numId w:val="0"/>
              </w:numPr>
              <w:autoSpaceDE w:val="0"/>
              <w:autoSpaceDN w:val="0"/>
              <w:spacing w:before="0" w:after="160" w:line="240" w:lineRule="auto"/>
              <w:ind w:right="0"/>
              <w:jc w:val="both"/>
              <w:rPr>
                <w:rFonts w:hint="default" w:ascii="Times New Roman" w:hAnsi="Times New Roman" w:eastAsia="宋体" w:cs="Times New Roman"/>
                <w:i w:val="0"/>
                <w:color w:val="000000"/>
                <w:kern w:val="0"/>
                <w:sz w:val="24"/>
                <w:szCs w:val="24"/>
                <w:u w:val="none"/>
                <w:lang w:val="en-US" w:eastAsia="zh-CN" w:bidi="ar"/>
              </w:rPr>
            </w:pPr>
          </w:p>
          <w:p>
            <w:pPr>
              <w:pStyle w:val="40"/>
              <w:numPr>
                <w:ilvl w:val="0"/>
                <w:numId w:val="0"/>
              </w:numPr>
              <w:autoSpaceDE w:val="0"/>
              <w:autoSpaceDN w:val="0"/>
              <w:spacing w:before="0" w:after="160" w:line="240" w:lineRule="auto"/>
              <w:ind w:right="0" w:firstLine="3360" w:firstLineChars="1400"/>
              <w:jc w:val="both"/>
              <w:rPr>
                <w:rFonts w:hint="default" w:ascii="Times New Roman" w:hAnsi="Times New Roman" w:eastAsia="宋体" w:cs="Times New Roman"/>
                <w:i w:val="0"/>
                <w:color w:val="000000"/>
                <w:kern w:val="0"/>
                <w:sz w:val="24"/>
                <w:szCs w:val="24"/>
                <w:u w:val="none"/>
                <w:lang w:val="en-US" w:eastAsia="zh-CN" w:bidi="ar"/>
              </w:rPr>
            </w:pPr>
          </w:p>
          <w:p>
            <w:pPr>
              <w:pageBreakBefore w:val="0"/>
              <w:numPr>
                <w:ilvl w:val="0"/>
                <w:numId w:val="0"/>
              </w:numPr>
              <w:tabs>
                <w:tab w:val="left" w:pos="1200"/>
              </w:tabs>
              <w:autoSpaceDE/>
              <w:autoSpaceDN/>
              <w:bidi w:val="0"/>
              <w:snapToGrid/>
              <w:spacing w:before="0" w:after="0" w:line="360" w:lineRule="auto"/>
              <w:ind w:right="0" w:firstLine="482"/>
              <w:jc w:val="both"/>
              <w:rPr>
                <w:rFonts w:hint="default" w:ascii="Times New Roman" w:hAnsi="宋体" w:eastAsia="宋体"/>
                <w:color w:val="auto"/>
                <w:position w:val="0"/>
                <w:sz w:val="24"/>
                <w:szCs w:val="24"/>
              </w:rPr>
            </w:pPr>
            <w:r>
              <w:rPr>
                <w:rFonts w:hint="default" w:ascii="Times New Roman" w:hAnsi="宋体" w:eastAsia="宋体"/>
                <w:b/>
                <w:color w:val="auto"/>
                <w:position w:val="0"/>
                <w:sz w:val="24"/>
                <w:szCs w:val="24"/>
              </w:rPr>
              <w:t>2、质量控制和质量保证</w:t>
            </w:r>
          </w:p>
          <w:p>
            <w:pPr>
              <w:pageBreakBefore w:val="0"/>
              <w:numPr>
                <w:ilvl w:val="0"/>
                <w:numId w:val="0"/>
              </w:numPr>
              <w:tabs>
                <w:tab w:val="left" w:pos="1200"/>
              </w:tabs>
              <w:autoSpaceDE/>
              <w:autoSpaceDN/>
              <w:bidi w:val="0"/>
              <w:snapToGrid/>
              <w:spacing w:before="0" w:after="0" w:line="360" w:lineRule="auto"/>
              <w:ind w:right="0" w:firstLine="480"/>
              <w:jc w:val="both"/>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监测过程中的质量保证措施按国家环境保护总局颁发的《环境监测质量保证管理规定》（暂行）的要求进行，实施全过程质量保证，保证了监测过程中各监测点位布置的科学性和可比性；监测分析方法采用国家有关部门颁布的标准（或推荐）分析方法，监测人员经过考核并持有合格证书；监测数据实行了三级审核制度，经过复核、审核，最后由授权签字人签发。</w:t>
            </w:r>
          </w:p>
          <w:p>
            <w:pPr>
              <w:pageBreakBefore w:val="0"/>
              <w:numPr>
                <w:ilvl w:val="0"/>
                <w:numId w:val="0"/>
              </w:numPr>
              <w:tabs>
                <w:tab w:val="left" w:pos="1200"/>
              </w:tabs>
              <w:autoSpaceDE/>
              <w:autoSpaceDN/>
              <w:bidi w:val="0"/>
              <w:snapToGrid/>
              <w:spacing w:before="0" w:after="0" w:line="360" w:lineRule="auto"/>
              <w:ind w:right="0" w:firstLine="482"/>
              <w:jc w:val="both"/>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3、噪声监测分析质量保证</w:t>
            </w:r>
          </w:p>
          <w:p>
            <w:pPr>
              <w:pageBreakBefore w:val="0"/>
              <w:numPr>
                <w:ilvl w:val="0"/>
                <w:numId w:val="0"/>
              </w:numPr>
              <w:autoSpaceDE w:val="0"/>
              <w:autoSpaceDN w:val="0"/>
              <w:bidi w:val="0"/>
              <w:snapToGrid w:val="0"/>
              <w:spacing w:before="0" w:after="0" w:line="360" w:lineRule="auto"/>
              <w:ind w:right="0" w:firstLine="480"/>
              <w:jc w:val="both"/>
              <w:rPr>
                <w:rFonts w:hint="default" w:ascii="Times New Roman" w:hAnsi="宋体" w:eastAsia="宋体"/>
                <w:color w:val="000000"/>
                <w:position w:val="0"/>
                <w:sz w:val="24"/>
                <w:szCs w:val="24"/>
              </w:rPr>
            </w:pPr>
            <w:r>
              <w:rPr>
                <w:rFonts w:hint="default" w:ascii="Times New Roman" w:hAnsi="宋体" w:eastAsia="宋体"/>
                <w:color w:val="000000"/>
                <w:position w:val="0"/>
                <w:sz w:val="24"/>
                <w:szCs w:val="24"/>
              </w:rPr>
              <w:t>声级计在测试前后用标准发生源进行校准，噪声监测严格按照《工业企业厂界环境噪声排放标准》(GB12348-2008)进行，质量保证和质控按照国家环保局《环境监测技术规范》（噪声部分）进行。测量仪器和声校准器均在检定规定的有效期限内使用；测量前后在测量的环境中用声校准器校准测量仪器，示值偏差不大于0.5dB（A）；测量时传声器加防风罩。</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6"/>
              <w:gridCol w:w="810"/>
              <w:gridCol w:w="899"/>
              <w:gridCol w:w="891"/>
              <w:gridCol w:w="900"/>
              <w:gridCol w:w="891"/>
              <w:gridCol w:w="854"/>
              <w:gridCol w:w="967"/>
              <w:gridCol w:w="8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35" w:type="dxa"/>
                  <w:gridSpan w:val="2"/>
                  <w:vMerge w:val="restart"/>
                  <w:tcBorders>
                    <w:top w:val="double" w:color="auto" w:sz="4" w:space="0"/>
                    <w:left w:val="nil"/>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日期</w:t>
                  </w:r>
                </w:p>
              </w:tc>
              <w:tc>
                <w:tcPr>
                  <w:tcW w:w="2022" w:type="dxa"/>
                  <w:gridSpan w:val="2"/>
                  <w:tcBorders>
                    <w:top w:val="double" w:color="auto" w:sz="4"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测量前</w:t>
                  </w:r>
                </w:p>
              </w:tc>
              <w:tc>
                <w:tcPr>
                  <w:tcW w:w="2024" w:type="dxa"/>
                  <w:gridSpan w:val="2"/>
                  <w:tcBorders>
                    <w:top w:val="double" w:color="auto" w:sz="4"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测量后</w:t>
                  </w:r>
                </w:p>
              </w:tc>
              <w:tc>
                <w:tcPr>
                  <w:tcW w:w="962" w:type="dxa"/>
                  <w:vMerge w:val="restart"/>
                  <w:tcBorders>
                    <w:top w:val="double" w:color="auto" w:sz="4"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前后校准示值偏差</w:t>
                  </w:r>
                </w:p>
              </w:tc>
              <w:tc>
                <w:tcPr>
                  <w:tcW w:w="1157" w:type="dxa"/>
                  <w:vMerge w:val="restart"/>
                  <w:tcBorders>
                    <w:top w:val="double" w:color="auto" w:sz="4"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是否合格</w:t>
                  </w:r>
                </w:p>
              </w:tc>
              <w:tc>
                <w:tcPr>
                  <w:tcW w:w="886" w:type="dxa"/>
                  <w:vMerge w:val="restart"/>
                  <w:tcBorders>
                    <w:top w:val="double" w:color="auto" w:sz="4" w:space="0"/>
                    <w:bottom w:val="double" w:color="auto" w:sz="4"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35" w:type="dxa"/>
                  <w:gridSpan w:val="2"/>
                  <w:vMerge w:val="continue"/>
                  <w:tcBorders>
                    <w:top w:val="single" w:color="auto" w:sz="6" w:space="0"/>
                    <w:left w:val="nil"/>
                    <w:bottom w:val="single" w:color="auto" w:sz="6" w:space="0"/>
                  </w:tcBorders>
                  <w:noWrap w:val="0"/>
                  <w:vAlign w:val="center"/>
                </w:tcPr>
                <w:p>
                  <w:pPr>
                    <w:tabs>
                      <w:tab w:val="left" w:pos="9795"/>
                    </w:tabs>
                    <w:jc w:val="center"/>
                    <w:rPr>
                      <w:rFonts w:hint="eastAsia" w:ascii="Times New Roman" w:cs="宋体"/>
                      <w:sz w:val="21"/>
                      <w:szCs w:val="21"/>
                    </w:rPr>
                  </w:pPr>
                </w:p>
              </w:tc>
              <w:tc>
                <w:tcPr>
                  <w:tcW w:w="1010" w:type="dxa"/>
                  <w:tcBorders>
                    <w:top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校准示值</w:t>
                  </w:r>
                </w:p>
              </w:tc>
              <w:tc>
                <w:tcPr>
                  <w:tcW w:w="1012" w:type="dxa"/>
                  <w:tcBorders>
                    <w:top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示值误差</w:t>
                  </w:r>
                </w:p>
              </w:tc>
              <w:tc>
                <w:tcPr>
                  <w:tcW w:w="1012" w:type="dxa"/>
                  <w:tcBorders>
                    <w:top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校准示值</w:t>
                  </w:r>
                </w:p>
              </w:tc>
              <w:tc>
                <w:tcPr>
                  <w:tcW w:w="1012" w:type="dxa"/>
                  <w:tcBorders>
                    <w:top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示值误差</w:t>
                  </w:r>
                </w:p>
              </w:tc>
              <w:tc>
                <w:tcPr>
                  <w:tcW w:w="962" w:type="dxa"/>
                  <w:vMerge w:val="continue"/>
                  <w:tcBorders>
                    <w:top w:val="single" w:color="auto" w:sz="6" w:space="0"/>
                  </w:tcBorders>
                  <w:noWrap w:val="0"/>
                  <w:vAlign w:val="center"/>
                </w:tcPr>
                <w:p>
                  <w:pPr>
                    <w:tabs>
                      <w:tab w:val="left" w:pos="9795"/>
                    </w:tabs>
                    <w:jc w:val="center"/>
                    <w:rPr>
                      <w:rFonts w:hint="eastAsia" w:ascii="Times New Roman" w:cs="宋体"/>
                      <w:sz w:val="21"/>
                      <w:szCs w:val="21"/>
                    </w:rPr>
                  </w:pPr>
                </w:p>
              </w:tc>
              <w:tc>
                <w:tcPr>
                  <w:tcW w:w="1157" w:type="dxa"/>
                  <w:vMerge w:val="continue"/>
                  <w:tcBorders>
                    <w:top w:val="single" w:color="auto" w:sz="6" w:space="0"/>
                  </w:tcBorders>
                  <w:noWrap w:val="0"/>
                  <w:vAlign w:val="center"/>
                </w:tcPr>
                <w:p>
                  <w:pPr>
                    <w:tabs>
                      <w:tab w:val="left" w:pos="9795"/>
                    </w:tabs>
                    <w:jc w:val="center"/>
                    <w:rPr>
                      <w:rFonts w:hint="eastAsia" w:ascii="Times New Roman" w:cs="宋体"/>
                      <w:sz w:val="21"/>
                      <w:szCs w:val="21"/>
                    </w:rPr>
                  </w:pPr>
                </w:p>
              </w:tc>
              <w:tc>
                <w:tcPr>
                  <w:tcW w:w="886" w:type="dxa"/>
                  <w:vMerge w:val="continue"/>
                  <w:tcBorders>
                    <w:top w:val="single" w:color="auto" w:sz="6" w:space="0"/>
                    <w:bottom w:val="single" w:color="auto" w:sz="6" w:space="0"/>
                    <w:right w:val="nil"/>
                  </w:tcBorders>
                  <w:noWrap w:val="0"/>
                  <w:vAlign w:val="top"/>
                </w:tcPr>
                <w:p>
                  <w:pPr>
                    <w:tabs>
                      <w:tab w:val="left" w:pos="9795"/>
                    </w:tabs>
                    <w:jc w:val="center"/>
                    <w:rPr>
                      <w:rFonts w:hint="eastAsia" w:ascii="Times New Roman"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90" w:type="dxa"/>
                  <w:vMerge w:val="restart"/>
                  <w:tcBorders>
                    <w:top w:val="single" w:color="auto" w:sz="6" w:space="0"/>
                    <w:left w:val="nil"/>
                  </w:tcBorders>
                  <w:noWrap w:val="0"/>
                  <w:vAlign w:val="center"/>
                </w:tcPr>
                <w:p>
                  <w:pPr>
                    <w:pStyle w:val="52"/>
                    <w:rPr>
                      <w:rFonts w:hint="eastAsia" w:ascii="Times New Roman" w:cs="宋体"/>
                      <w:sz w:val="21"/>
                    </w:rPr>
                  </w:pPr>
                  <w:r>
                    <w:rPr>
                      <w:rFonts w:hint="eastAsia" w:ascii="Times New Roman" w:cs="宋体"/>
                      <w:color w:val="auto"/>
                      <w:sz w:val="21"/>
                    </w:rPr>
                    <w:t>2019.11.25</w:t>
                  </w:r>
                </w:p>
              </w:tc>
              <w:tc>
                <w:tcPr>
                  <w:tcW w:w="945"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昼间</w:t>
                  </w:r>
                </w:p>
              </w:tc>
              <w:tc>
                <w:tcPr>
                  <w:tcW w:w="1010"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8</w:t>
                  </w:r>
                </w:p>
              </w:tc>
              <w:tc>
                <w:tcPr>
                  <w:tcW w:w="1012"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-0.2</w:t>
                  </w:r>
                </w:p>
              </w:tc>
              <w:tc>
                <w:tcPr>
                  <w:tcW w:w="1012"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7</w:t>
                  </w:r>
                </w:p>
              </w:tc>
              <w:tc>
                <w:tcPr>
                  <w:tcW w:w="1012" w:type="dxa"/>
                  <w:noWrap w:val="0"/>
                  <w:vAlign w:val="center"/>
                </w:tcPr>
                <w:p>
                  <w:pPr>
                    <w:tabs>
                      <w:tab w:val="left" w:pos="9795"/>
                    </w:tabs>
                    <w:jc w:val="center"/>
                    <w:rPr>
                      <w:rFonts w:hint="eastAsia" w:ascii="Times New Roman" w:cs="宋体"/>
                      <w:sz w:val="21"/>
                      <w:szCs w:val="21"/>
                    </w:rPr>
                  </w:pPr>
                  <w:r>
                    <w:rPr>
                      <w:rFonts w:ascii="Times New Roman" w:cs="宋体"/>
                      <w:sz w:val="21"/>
                      <w:szCs w:val="21"/>
                    </w:rPr>
                    <w:t>-0.3</w:t>
                  </w:r>
                </w:p>
              </w:tc>
              <w:tc>
                <w:tcPr>
                  <w:tcW w:w="962" w:type="dxa"/>
                  <w:noWrap w:val="0"/>
                  <w:vAlign w:val="center"/>
                </w:tcPr>
                <w:p>
                  <w:pPr>
                    <w:tabs>
                      <w:tab w:val="left" w:pos="9795"/>
                    </w:tabs>
                    <w:jc w:val="center"/>
                    <w:rPr>
                      <w:rFonts w:hint="eastAsia" w:ascii="Times New Roman" w:cs="宋体"/>
                      <w:sz w:val="21"/>
                      <w:szCs w:val="21"/>
                    </w:rPr>
                  </w:pPr>
                  <w:r>
                    <w:rPr>
                      <w:rFonts w:ascii="Times New Roman" w:cs="宋体"/>
                      <w:sz w:val="21"/>
                      <w:szCs w:val="21"/>
                    </w:rPr>
                    <w:t>-0.1</w:t>
                  </w:r>
                </w:p>
              </w:tc>
              <w:tc>
                <w:tcPr>
                  <w:tcW w:w="1157"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合格</w:t>
                  </w:r>
                </w:p>
              </w:tc>
              <w:tc>
                <w:tcPr>
                  <w:tcW w:w="886" w:type="dxa"/>
                  <w:vMerge w:val="restart"/>
                  <w:tcBorders>
                    <w:top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90" w:type="dxa"/>
                  <w:vMerge w:val="continue"/>
                  <w:tcBorders>
                    <w:left w:val="nil"/>
                  </w:tcBorders>
                  <w:noWrap w:val="0"/>
                  <w:vAlign w:val="center"/>
                </w:tcPr>
                <w:p>
                  <w:pPr>
                    <w:pStyle w:val="52"/>
                    <w:rPr>
                      <w:rFonts w:hint="eastAsia" w:ascii="Times New Roman" w:cs="宋体"/>
                      <w:color w:val="auto"/>
                      <w:sz w:val="21"/>
                    </w:rPr>
                  </w:pPr>
                </w:p>
              </w:tc>
              <w:tc>
                <w:tcPr>
                  <w:tcW w:w="945"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夜间</w:t>
                  </w:r>
                </w:p>
              </w:tc>
              <w:tc>
                <w:tcPr>
                  <w:tcW w:w="1010"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8</w:t>
                  </w:r>
                </w:p>
              </w:tc>
              <w:tc>
                <w:tcPr>
                  <w:tcW w:w="1012"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-0.2</w:t>
                  </w:r>
                </w:p>
              </w:tc>
              <w:tc>
                <w:tcPr>
                  <w:tcW w:w="1012"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7</w:t>
                  </w:r>
                </w:p>
              </w:tc>
              <w:tc>
                <w:tcPr>
                  <w:tcW w:w="1012" w:type="dxa"/>
                  <w:noWrap w:val="0"/>
                  <w:vAlign w:val="center"/>
                </w:tcPr>
                <w:p>
                  <w:pPr>
                    <w:tabs>
                      <w:tab w:val="left" w:pos="9795"/>
                    </w:tabs>
                    <w:jc w:val="center"/>
                    <w:rPr>
                      <w:rFonts w:hint="eastAsia" w:ascii="Times New Roman" w:cs="宋体"/>
                      <w:sz w:val="21"/>
                      <w:szCs w:val="21"/>
                    </w:rPr>
                  </w:pPr>
                  <w:r>
                    <w:rPr>
                      <w:rFonts w:ascii="Times New Roman" w:cs="宋体"/>
                      <w:sz w:val="21"/>
                      <w:szCs w:val="21"/>
                    </w:rPr>
                    <w:t>-0.3</w:t>
                  </w:r>
                </w:p>
              </w:tc>
              <w:tc>
                <w:tcPr>
                  <w:tcW w:w="962" w:type="dxa"/>
                  <w:noWrap w:val="0"/>
                  <w:vAlign w:val="center"/>
                </w:tcPr>
                <w:p>
                  <w:pPr>
                    <w:tabs>
                      <w:tab w:val="left" w:pos="9795"/>
                    </w:tabs>
                    <w:jc w:val="center"/>
                    <w:rPr>
                      <w:rFonts w:hint="eastAsia" w:ascii="Times New Roman" w:cs="宋体"/>
                      <w:sz w:val="21"/>
                      <w:szCs w:val="21"/>
                    </w:rPr>
                  </w:pPr>
                  <w:r>
                    <w:rPr>
                      <w:rFonts w:ascii="Times New Roman" w:cs="宋体"/>
                      <w:sz w:val="21"/>
                      <w:szCs w:val="21"/>
                    </w:rPr>
                    <w:t>-0.1</w:t>
                  </w:r>
                </w:p>
              </w:tc>
              <w:tc>
                <w:tcPr>
                  <w:tcW w:w="1157" w:type="dxa"/>
                  <w:noWrap w:val="0"/>
                  <w:vAlign w:val="center"/>
                </w:tcPr>
                <w:p>
                  <w:pPr>
                    <w:jc w:val="center"/>
                    <w:rPr>
                      <w:rFonts w:hint="eastAsia" w:ascii="Times New Roman" w:cs="宋体"/>
                      <w:sz w:val="21"/>
                      <w:szCs w:val="21"/>
                    </w:rPr>
                  </w:pPr>
                  <w:r>
                    <w:rPr>
                      <w:rFonts w:hint="eastAsia" w:ascii="Times New Roman" w:cs="宋体"/>
                      <w:sz w:val="21"/>
                      <w:szCs w:val="21"/>
                    </w:rPr>
                    <w:t>合格</w:t>
                  </w:r>
                </w:p>
              </w:tc>
              <w:tc>
                <w:tcPr>
                  <w:tcW w:w="886" w:type="dxa"/>
                  <w:vMerge w:val="continue"/>
                  <w:tcBorders>
                    <w:right w:val="nil"/>
                  </w:tcBorders>
                  <w:noWrap w:val="0"/>
                  <w:vAlign w:val="center"/>
                </w:tcPr>
                <w:p>
                  <w:pPr>
                    <w:tabs>
                      <w:tab w:val="left" w:pos="9795"/>
                    </w:tabs>
                    <w:jc w:val="center"/>
                    <w:rPr>
                      <w:rFonts w:hint="eastAsia" w:ascii="Times New Roman"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90" w:type="dxa"/>
                  <w:vMerge w:val="restart"/>
                  <w:tcBorders>
                    <w:left w:val="nil"/>
                  </w:tcBorders>
                  <w:noWrap w:val="0"/>
                  <w:vAlign w:val="center"/>
                </w:tcPr>
                <w:p>
                  <w:pPr>
                    <w:pStyle w:val="52"/>
                    <w:rPr>
                      <w:rFonts w:hint="eastAsia" w:ascii="Times New Roman" w:cs="宋体"/>
                      <w:sz w:val="21"/>
                    </w:rPr>
                  </w:pPr>
                  <w:r>
                    <w:rPr>
                      <w:rFonts w:hint="eastAsia" w:ascii="Times New Roman" w:cs="宋体"/>
                      <w:color w:val="auto"/>
                      <w:sz w:val="21"/>
                    </w:rPr>
                    <w:t>2019.11.26</w:t>
                  </w:r>
                </w:p>
              </w:tc>
              <w:tc>
                <w:tcPr>
                  <w:tcW w:w="945" w:type="dxa"/>
                  <w:tcBorders>
                    <w:top w:val="single" w:color="auto" w:sz="6"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昼间</w:t>
                  </w:r>
                </w:p>
              </w:tc>
              <w:tc>
                <w:tcPr>
                  <w:tcW w:w="1010" w:type="dxa"/>
                  <w:tcBorders>
                    <w:top w:val="single" w:color="auto" w:sz="6"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8</w:t>
                  </w:r>
                </w:p>
              </w:tc>
              <w:tc>
                <w:tcPr>
                  <w:tcW w:w="1012" w:type="dxa"/>
                  <w:tcBorders>
                    <w:top w:val="single" w:color="auto" w:sz="6"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-0.2</w:t>
                  </w:r>
                </w:p>
              </w:tc>
              <w:tc>
                <w:tcPr>
                  <w:tcW w:w="1012" w:type="dxa"/>
                  <w:tcBorders>
                    <w:top w:val="single" w:color="auto" w:sz="6"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6</w:t>
                  </w:r>
                </w:p>
              </w:tc>
              <w:tc>
                <w:tcPr>
                  <w:tcW w:w="1012" w:type="dxa"/>
                  <w:tcBorders>
                    <w:top w:val="single" w:color="auto" w:sz="6"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-0.4</w:t>
                  </w:r>
                </w:p>
              </w:tc>
              <w:tc>
                <w:tcPr>
                  <w:tcW w:w="962" w:type="dxa"/>
                  <w:tcBorders>
                    <w:top w:val="single" w:color="auto" w:sz="6" w:space="0"/>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-0.2</w:t>
                  </w:r>
                </w:p>
              </w:tc>
              <w:tc>
                <w:tcPr>
                  <w:tcW w:w="1157" w:type="dxa"/>
                  <w:tcBorders>
                    <w:top w:val="single" w:color="auto" w:sz="6" w:space="0"/>
                    <w:bottom w:val="single" w:color="auto" w:sz="6" w:space="0"/>
                  </w:tcBorders>
                  <w:noWrap w:val="0"/>
                  <w:vAlign w:val="center"/>
                </w:tcPr>
                <w:p>
                  <w:pPr>
                    <w:jc w:val="center"/>
                    <w:rPr>
                      <w:rFonts w:hint="eastAsia" w:ascii="Times New Roman" w:cs="宋体"/>
                      <w:sz w:val="21"/>
                      <w:szCs w:val="21"/>
                    </w:rPr>
                  </w:pPr>
                  <w:r>
                    <w:rPr>
                      <w:rFonts w:hint="eastAsia" w:ascii="Times New Roman" w:cs="宋体"/>
                      <w:sz w:val="21"/>
                      <w:szCs w:val="21"/>
                    </w:rPr>
                    <w:t>合格</w:t>
                  </w:r>
                </w:p>
              </w:tc>
              <w:tc>
                <w:tcPr>
                  <w:tcW w:w="886" w:type="dxa"/>
                  <w:vMerge w:val="continue"/>
                  <w:tcBorders>
                    <w:right w:val="nil"/>
                  </w:tcBorders>
                  <w:noWrap w:val="0"/>
                  <w:vAlign w:val="top"/>
                </w:tcPr>
                <w:p>
                  <w:pPr>
                    <w:tabs>
                      <w:tab w:val="left" w:pos="9795"/>
                    </w:tabs>
                    <w:jc w:val="center"/>
                    <w:rPr>
                      <w:rFonts w:hint="eastAsia" w:ascii="Times New Roman"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90" w:type="dxa"/>
                  <w:vMerge w:val="continue"/>
                  <w:tcBorders>
                    <w:left w:val="nil"/>
                    <w:bottom w:val="double" w:color="auto" w:sz="4" w:space="0"/>
                  </w:tcBorders>
                  <w:noWrap w:val="0"/>
                  <w:vAlign w:val="center"/>
                </w:tcPr>
                <w:p>
                  <w:pPr>
                    <w:pStyle w:val="52"/>
                    <w:rPr>
                      <w:rFonts w:hint="eastAsia" w:ascii="Times New Roman" w:cs="宋体"/>
                      <w:color w:val="auto"/>
                      <w:sz w:val="21"/>
                    </w:rPr>
                  </w:pPr>
                </w:p>
              </w:tc>
              <w:tc>
                <w:tcPr>
                  <w:tcW w:w="945" w:type="dxa"/>
                  <w:tcBorders>
                    <w:top w:val="single" w:color="auto" w:sz="6" w:space="0"/>
                    <w:bottom w:val="doub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夜间</w:t>
                  </w:r>
                </w:p>
              </w:tc>
              <w:tc>
                <w:tcPr>
                  <w:tcW w:w="1010" w:type="dxa"/>
                  <w:tcBorders>
                    <w:top w:val="single" w:color="auto" w:sz="6" w:space="0"/>
                    <w:bottom w:val="doub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8</w:t>
                  </w:r>
                </w:p>
              </w:tc>
              <w:tc>
                <w:tcPr>
                  <w:tcW w:w="1012" w:type="dxa"/>
                  <w:tcBorders>
                    <w:top w:val="single" w:color="auto" w:sz="6" w:space="0"/>
                    <w:bottom w:val="doub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-0.2</w:t>
                  </w:r>
                </w:p>
              </w:tc>
              <w:tc>
                <w:tcPr>
                  <w:tcW w:w="1012" w:type="dxa"/>
                  <w:tcBorders>
                    <w:top w:val="single" w:color="auto" w:sz="6" w:space="0"/>
                    <w:bottom w:val="doub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93.</w:t>
                  </w:r>
                  <w:r>
                    <w:rPr>
                      <w:rFonts w:ascii="Times New Roman" w:cs="宋体"/>
                      <w:sz w:val="21"/>
                      <w:szCs w:val="21"/>
                    </w:rPr>
                    <w:t>7</w:t>
                  </w:r>
                </w:p>
              </w:tc>
              <w:tc>
                <w:tcPr>
                  <w:tcW w:w="1012" w:type="dxa"/>
                  <w:tcBorders>
                    <w:top w:val="single" w:color="auto" w:sz="6" w:space="0"/>
                    <w:bottom w:val="double" w:color="auto" w:sz="4" w:space="0"/>
                  </w:tcBorders>
                  <w:noWrap w:val="0"/>
                  <w:vAlign w:val="center"/>
                </w:tcPr>
                <w:p>
                  <w:pPr>
                    <w:tabs>
                      <w:tab w:val="left" w:pos="9795"/>
                    </w:tabs>
                    <w:jc w:val="center"/>
                    <w:rPr>
                      <w:rFonts w:hint="eastAsia" w:ascii="Times New Roman" w:cs="宋体"/>
                      <w:sz w:val="21"/>
                      <w:szCs w:val="21"/>
                    </w:rPr>
                  </w:pPr>
                  <w:r>
                    <w:rPr>
                      <w:rFonts w:ascii="Times New Roman" w:cs="宋体"/>
                      <w:sz w:val="21"/>
                      <w:szCs w:val="21"/>
                    </w:rPr>
                    <w:t>-0.3</w:t>
                  </w:r>
                </w:p>
              </w:tc>
              <w:tc>
                <w:tcPr>
                  <w:tcW w:w="962" w:type="dxa"/>
                  <w:tcBorders>
                    <w:top w:val="single" w:color="auto" w:sz="6" w:space="0"/>
                    <w:bottom w:val="double" w:color="auto" w:sz="4" w:space="0"/>
                  </w:tcBorders>
                  <w:noWrap w:val="0"/>
                  <w:vAlign w:val="center"/>
                </w:tcPr>
                <w:p>
                  <w:pPr>
                    <w:tabs>
                      <w:tab w:val="left" w:pos="9795"/>
                    </w:tabs>
                    <w:jc w:val="center"/>
                    <w:rPr>
                      <w:rFonts w:hint="eastAsia" w:ascii="Times New Roman" w:cs="宋体"/>
                      <w:sz w:val="21"/>
                      <w:szCs w:val="21"/>
                    </w:rPr>
                  </w:pPr>
                  <w:r>
                    <w:rPr>
                      <w:rFonts w:ascii="Times New Roman" w:cs="宋体"/>
                      <w:sz w:val="21"/>
                      <w:szCs w:val="21"/>
                    </w:rPr>
                    <w:t>-0.1</w:t>
                  </w:r>
                </w:p>
              </w:tc>
              <w:tc>
                <w:tcPr>
                  <w:tcW w:w="1157" w:type="dxa"/>
                  <w:tcBorders>
                    <w:top w:val="single" w:color="auto" w:sz="6" w:space="0"/>
                    <w:bottom w:val="double" w:color="auto" w:sz="4" w:space="0"/>
                  </w:tcBorders>
                  <w:noWrap w:val="0"/>
                  <w:vAlign w:val="center"/>
                </w:tcPr>
                <w:p>
                  <w:pPr>
                    <w:jc w:val="center"/>
                    <w:rPr>
                      <w:rFonts w:hint="eastAsia" w:ascii="Times New Roman" w:cs="宋体"/>
                      <w:sz w:val="21"/>
                      <w:szCs w:val="21"/>
                    </w:rPr>
                  </w:pPr>
                  <w:r>
                    <w:rPr>
                      <w:rFonts w:hint="eastAsia" w:ascii="Times New Roman" w:cs="宋体"/>
                      <w:sz w:val="21"/>
                      <w:szCs w:val="21"/>
                    </w:rPr>
                    <w:t>合格</w:t>
                  </w:r>
                </w:p>
              </w:tc>
              <w:tc>
                <w:tcPr>
                  <w:tcW w:w="886" w:type="dxa"/>
                  <w:vMerge w:val="continue"/>
                  <w:tcBorders>
                    <w:bottom w:val="double" w:color="auto" w:sz="4" w:space="0"/>
                    <w:right w:val="nil"/>
                  </w:tcBorders>
                  <w:noWrap w:val="0"/>
                  <w:vAlign w:val="top"/>
                </w:tcPr>
                <w:p>
                  <w:pPr>
                    <w:tabs>
                      <w:tab w:val="left" w:pos="9795"/>
                    </w:tabs>
                    <w:jc w:val="center"/>
                    <w:rPr>
                      <w:rFonts w:hint="eastAsia" w:ascii="Times New Roman" w:cs="宋体"/>
                      <w:sz w:val="21"/>
                      <w:szCs w:val="21"/>
                    </w:rPr>
                  </w:pPr>
                </w:p>
              </w:tc>
            </w:tr>
          </w:tbl>
          <w:p>
            <w:pPr>
              <w:pageBreakBefore w:val="0"/>
              <w:numPr>
                <w:ilvl w:val="0"/>
                <w:numId w:val="0"/>
              </w:numPr>
              <w:autoSpaceDE w:val="0"/>
              <w:autoSpaceDN w:val="0"/>
              <w:bidi w:val="0"/>
              <w:snapToGrid w:val="0"/>
              <w:spacing w:before="0" w:after="0" w:line="360" w:lineRule="auto"/>
              <w:ind w:right="0" w:firstLine="480"/>
              <w:jc w:val="both"/>
              <w:rPr>
                <w:rFonts w:hint="default" w:ascii="Times New Roman" w:hAnsi="宋体" w:eastAsia="宋体"/>
                <w:color w:val="000000"/>
                <w:position w:val="0"/>
                <w:sz w:val="24"/>
                <w:szCs w:val="24"/>
              </w:rPr>
            </w:pPr>
          </w:p>
          <w:p>
            <w:pPr>
              <w:autoSpaceDE w:val="0"/>
              <w:autoSpaceDN w:val="0"/>
              <w:spacing w:after="0" w:line="360" w:lineRule="auto"/>
              <w:ind w:firstLine="480" w:firstLineChars="200"/>
              <w:jc w:val="both"/>
              <w:rPr>
                <w:rFonts w:hint="default" w:ascii="Times New Roman" w:hAnsi="Times New Roman" w:eastAsia="宋体" w:cs="Times New Roman"/>
                <w:b/>
                <w:color w:val="000000"/>
                <w:sz w:val="28"/>
                <w:szCs w:val="28"/>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水质监测分析过程中的质量保证和质量控制</w:t>
            </w:r>
          </w:p>
          <w:p>
            <w:pPr>
              <w:autoSpaceDE w:val="0"/>
              <w:autoSpaceDN w:val="0"/>
              <w:spacing w:after="0" w:line="360" w:lineRule="auto"/>
              <w:ind w:firstLine="480" w:firstLineChars="200"/>
              <w:jc w:val="both"/>
              <w:rPr>
                <w:rFonts w:hint="default" w:ascii="Times New Roman" w:hAnsi="宋体" w:eastAsia="宋体"/>
                <w:b/>
                <w:color w:val="auto"/>
                <w:position w:val="0"/>
                <w:sz w:val="24"/>
                <w:szCs w:val="24"/>
              </w:rPr>
            </w:pPr>
            <w:r>
              <w:rPr>
                <w:rFonts w:hint="default" w:ascii="Times New Roman" w:hAnsi="Times New Roman" w:eastAsia="宋体" w:cs="Times New Roman"/>
                <w:color w:val="auto"/>
                <w:sz w:val="24"/>
                <w:szCs w:val="24"/>
              </w:rPr>
              <w:t>废水样品的采集、运输、保存和监测按照国家环境保护总局《地表水和污水监测技术规范》（HJ/T91-2002）与建设项目竣工环保验收监测规定和要求执行。在采样过程中采集不少于10%的平行样；分析测定过程中，采取测定质控样、加标、回收或平行双样等措施。质控总数量占到了每批次分析样品总数的10%。监测数据完成后执行三级审核制度。</w:t>
            </w:r>
          </w:p>
        </w:tc>
      </w:tr>
    </w:tbl>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pPr>
    </w:p>
    <w:p>
      <w:pPr>
        <w:pStyle w:val="21"/>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color w:val="auto"/>
          <w:position w:val="0"/>
          <w:sz w:val="24"/>
          <w:szCs w:val="24"/>
        </w:rPr>
      </w:pPr>
      <w:bookmarkStart w:id="21" w:name="_Toc17479"/>
      <w:r>
        <w:rPr>
          <w:rFonts w:hint="default" w:ascii="宋体" w:hAnsi="宋体" w:eastAsia="宋体"/>
          <w:b/>
          <w:color w:val="auto"/>
          <w:position w:val="0"/>
          <w:sz w:val="24"/>
          <w:szCs w:val="24"/>
        </w:rPr>
        <w:t>表六</w:t>
      </w:r>
      <w:bookmarkEnd w:id="21"/>
    </w:p>
    <w:tbl>
      <w:tblPr>
        <w:tblStyle w:val="33"/>
        <w:tblW w:w="89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37" w:hRule="atLeast"/>
        </w:trPr>
        <w:tc>
          <w:tcPr>
            <w:tcW w:w="8924" w:type="dxa"/>
            <w:vAlign w:val="top"/>
          </w:tcPr>
          <w:p>
            <w:pPr>
              <w:pageBreakBefore w:val="0"/>
              <w:numPr>
                <w:ilvl w:val="0"/>
                <w:numId w:val="0"/>
              </w:numPr>
              <w:autoSpaceDE/>
              <w:autoSpaceDN/>
              <w:bidi w:val="0"/>
              <w:snapToGrid/>
              <w:spacing w:before="0" w:after="0" w:line="360" w:lineRule="auto"/>
              <w:ind w:right="0" w:firstLine="0"/>
              <w:jc w:val="left"/>
              <w:outlineLvl w:val="0"/>
              <w:rPr>
                <w:rFonts w:hint="default" w:ascii="Times New Roman" w:hAnsi="宋体" w:eastAsia="宋体"/>
                <w:b/>
                <w:color w:val="auto"/>
                <w:position w:val="0"/>
                <w:sz w:val="21"/>
                <w:szCs w:val="21"/>
              </w:rPr>
            </w:pPr>
            <w:bookmarkStart w:id="22" w:name="_Toc1297"/>
            <w:bookmarkStart w:id="23" w:name="_Toc14761"/>
            <w:bookmarkStart w:id="24" w:name="_Toc23621"/>
            <w:r>
              <w:rPr>
                <w:rFonts w:hint="default" w:ascii="Times New Roman" w:hAnsi="宋体" w:eastAsia="宋体"/>
                <w:b/>
                <w:color w:val="auto"/>
                <w:position w:val="0"/>
                <w:sz w:val="21"/>
                <w:szCs w:val="21"/>
              </w:rPr>
              <w:t>验收监测内容：</w:t>
            </w:r>
            <w:bookmarkEnd w:id="22"/>
            <w:bookmarkEnd w:id="23"/>
            <w:bookmarkEnd w:id="24"/>
          </w:p>
          <w:p>
            <w:pPr>
              <w:pageBreakBefore w:val="0"/>
              <w:numPr>
                <w:ilvl w:val="0"/>
                <w:numId w:val="0"/>
              </w:numPr>
              <w:autoSpaceDE/>
              <w:autoSpaceDN/>
              <w:bidi w:val="0"/>
              <w:snapToGrid w:val="0"/>
              <w:spacing w:before="0" w:after="0" w:line="360" w:lineRule="auto"/>
              <w:ind w:right="0" w:firstLine="422"/>
              <w:jc w:val="left"/>
              <w:rPr>
                <w:rFonts w:hint="default" w:ascii="Times New Roman" w:hAnsi="宋体" w:eastAsia="宋体"/>
                <w:color w:val="auto"/>
                <w:position w:val="0"/>
                <w:sz w:val="21"/>
                <w:szCs w:val="21"/>
                <w:highlight w:val="none"/>
              </w:rPr>
            </w:pPr>
            <w:bookmarkStart w:id="25" w:name="_Toc14372"/>
            <w:bookmarkStart w:id="26" w:name="_Toc209002456"/>
            <w:bookmarkStart w:id="27" w:name="_Toc534485378"/>
            <w:bookmarkStart w:id="28" w:name="_Toc29627"/>
            <w:bookmarkStart w:id="29" w:name="_Toc2050"/>
            <w:r>
              <w:rPr>
                <w:rFonts w:hint="default" w:ascii="Times New Roman" w:hAnsi="宋体" w:eastAsia="宋体"/>
                <w:b/>
                <w:color w:val="auto"/>
                <w:position w:val="0"/>
                <w:sz w:val="21"/>
                <w:szCs w:val="21"/>
                <w:highlight w:val="none"/>
              </w:rPr>
              <w:t>1、采样日期、点位及频次</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1"/>
                <w:szCs w:val="21"/>
                <w:highlight w:val="none"/>
              </w:rPr>
            </w:pPr>
            <w:r>
              <w:rPr>
                <w:rFonts w:hint="default" w:ascii="Times New Roman" w:hAnsi="宋体" w:eastAsia="宋体"/>
                <w:color w:val="auto"/>
                <w:position w:val="0"/>
                <w:sz w:val="21"/>
                <w:szCs w:val="21"/>
                <w:highlight w:val="none"/>
              </w:rPr>
              <w:t>表6-1检测信息一览表</w:t>
            </w:r>
          </w:p>
          <w:bookmarkEnd w:id="25"/>
          <w:bookmarkEnd w:id="26"/>
          <w:bookmarkEnd w:id="27"/>
          <w:bookmarkEnd w:id="28"/>
          <w:bookmarkEnd w:id="29"/>
          <w:tbl>
            <w:tblPr>
              <w:tblStyle w:val="33"/>
              <w:tblpPr w:leftFromText="180" w:rightFromText="180" w:vertAnchor="text" w:horzAnchor="margin" w:tblpXSpec="center" w:tblpY="31"/>
              <w:tblOverlap w:val="never"/>
              <w:tblW w:w="86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9"/>
              <w:gridCol w:w="2482"/>
              <w:gridCol w:w="2482"/>
              <w:gridCol w:w="23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1369" w:type="dxa"/>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采样日期</w:t>
                  </w:r>
                </w:p>
              </w:tc>
              <w:tc>
                <w:tcPr>
                  <w:tcW w:w="2482" w:type="dxa"/>
                  <w:tcBorders>
                    <w:lef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点位</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项目</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1369" w:type="dxa"/>
                  <w:vMerge w:val="restart"/>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2019.</w:t>
                  </w:r>
                  <w:r>
                    <w:rPr>
                      <w:rFonts w:hint="eastAsia"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w:t>
                  </w:r>
                </w:p>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2019.</w:t>
                  </w:r>
                  <w:r>
                    <w:rPr>
                      <w:rFonts w:hint="eastAsia"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6</w:t>
                  </w:r>
                </w:p>
              </w:tc>
              <w:tc>
                <w:tcPr>
                  <w:tcW w:w="2482" w:type="dxa"/>
                  <w:tcBorders>
                    <w:lef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0"/>
                      <w:sz w:val="21"/>
                      <w:szCs w:val="21"/>
                      <w:highlight w:val="none"/>
                      <w:lang w:val="en-US" w:eastAsia="zh-CN" w:bidi="ar"/>
                    </w:rPr>
                    <w:t>总排污口</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sz w:val="21"/>
                      <w:szCs w:val="21"/>
                    </w:rPr>
                    <w:t>COD</w:t>
                  </w:r>
                  <w:r>
                    <w:rPr>
                      <w:rFonts w:hint="default" w:ascii="Times New Roman" w:hAnsi="Times New Roman" w:cs="Times New Roman" w:eastAsiaTheme="minorEastAsia"/>
                      <w:sz w:val="21"/>
                      <w:szCs w:val="21"/>
                      <w:vertAlign w:val="subscript"/>
                    </w:rPr>
                    <w:t>cr</w:t>
                  </w:r>
                  <w:r>
                    <w:rPr>
                      <w:rFonts w:hint="default" w:ascii="Times New Roman" w:hAnsi="Times New Roman" w:cs="Times New Roman" w:eastAsiaTheme="minorEastAsia"/>
                      <w:sz w:val="21"/>
                      <w:szCs w:val="21"/>
                      <w:vertAlign w:val="baseline"/>
                      <w:lang w:eastAsia="zh-CN"/>
                    </w:rPr>
                    <w:t>、</w:t>
                  </w:r>
                  <w:r>
                    <w:rPr>
                      <w:rFonts w:hint="default" w:ascii="Times New Roman" w:hAnsi="Times New Roman" w:cs="Times New Roman" w:eastAsiaTheme="minorEastAsia"/>
                      <w:sz w:val="21"/>
                      <w:szCs w:val="21"/>
                      <w:lang w:val="en-US" w:eastAsia="zh-CN"/>
                    </w:rPr>
                    <w:t>氨氮、</w:t>
                  </w:r>
                  <w:r>
                    <w:rPr>
                      <w:rFonts w:hint="default" w:ascii="Times New Roman" w:hAnsi="Times New Roman" w:cs="Times New Roman" w:eastAsiaTheme="minorEastAsia"/>
                      <w:sz w:val="21"/>
                      <w:szCs w:val="21"/>
                    </w:rPr>
                    <w:t>SS</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五日生化需氧量</w:t>
                  </w:r>
                  <w:r>
                    <w:rPr>
                      <w:rFonts w:hint="eastAsia" w:ascii="Times New Roman" w:hAnsi="Times New Roman" w:cs="Times New Roman" w:eastAsiaTheme="minorEastAsia"/>
                      <w:sz w:val="21"/>
                      <w:szCs w:val="21"/>
                      <w:lang w:val="en-US" w:eastAsia="zh-CN"/>
                    </w:rPr>
                    <w:t>、PH值、阴离子表面活性剂、总磷</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1369" w:type="dxa"/>
                  <w:vMerge w:val="continue"/>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p>
              </w:tc>
              <w:tc>
                <w:tcPr>
                  <w:tcW w:w="2482" w:type="dxa"/>
                  <w:tcBorders>
                    <w:left w:val="single" w:color="auto" w:sz="2" w:space="0"/>
                  </w:tcBorders>
                  <w:noWrap w:val="0"/>
                  <w:vAlign w:val="center"/>
                </w:tcPr>
                <w:p>
                  <w:pPr>
                    <w:spacing w:line="300" w:lineRule="exact"/>
                    <w:jc w:val="center"/>
                    <w:rPr>
                      <w:rFonts w:hint="eastAsia"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稀硫酸溶液喷淋塔</w:t>
                  </w:r>
                </w:p>
                <w:p>
                  <w:pPr>
                    <w:spacing w:line="3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b w:val="0"/>
                      <w:color w:val="auto"/>
                      <w:position w:val="0"/>
                      <w:sz w:val="21"/>
                      <w:szCs w:val="21"/>
                      <w:lang w:val="en-US" w:eastAsia="zh-CN"/>
                    </w:rPr>
                    <w:t>碱液喷淋塔</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sz w:val="21"/>
                      <w:szCs w:val="21"/>
                      <w:lang w:val="en-US" w:eastAsia="zh-CN"/>
                    </w:rPr>
                    <w:t>硫酸雾</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氨</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1369" w:type="dxa"/>
                  <w:vMerge w:val="continue"/>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p>
              </w:tc>
              <w:tc>
                <w:tcPr>
                  <w:tcW w:w="2482" w:type="dxa"/>
                  <w:tcBorders>
                    <w:left w:val="single" w:color="auto" w:sz="2" w:space="0"/>
                  </w:tcBorders>
                  <w:noWrap w:val="0"/>
                  <w:vAlign w:val="center"/>
                </w:tcPr>
                <w:p>
                  <w:pPr>
                    <w:spacing w:line="300" w:lineRule="exact"/>
                    <w:jc w:val="center"/>
                    <w:rPr>
                      <w:rFonts w:hint="default" w:ascii="Times New Roman" w:hAnsi="Times New Roman" w:cs="Times New Roman" w:eastAsiaTheme="minorEastAsia"/>
                      <w:kern w:val="0"/>
                      <w:sz w:val="21"/>
                      <w:szCs w:val="21"/>
                      <w:highlight w:val="none"/>
                      <w:lang w:val="en-US" w:eastAsia="zh-CN" w:bidi="ar"/>
                    </w:rPr>
                  </w:pPr>
                  <w:r>
                    <w:rPr>
                      <w:rFonts w:hint="default" w:ascii="Times New Roman" w:hAnsi="Times New Roman" w:cs="Times New Roman" w:eastAsiaTheme="minorEastAsia"/>
                      <w:kern w:val="0"/>
                      <w:sz w:val="21"/>
                      <w:szCs w:val="21"/>
                      <w:highlight w:val="none"/>
                      <w:lang w:val="en-US" w:eastAsia="zh-CN" w:bidi="ar"/>
                    </w:rPr>
                    <w:t>厂界上风向设1个参照点</w:t>
                  </w:r>
                </w:p>
                <w:p>
                  <w:pPr>
                    <w:spacing w:line="300" w:lineRule="exact"/>
                    <w:jc w:val="center"/>
                    <w:rPr>
                      <w:rFonts w:hint="default" w:ascii="Times New Roman" w:hAnsi="Times New Roman" w:cs="Times New Roman" w:eastAsiaTheme="minorEastAsia"/>
                      <w:kern w:val="0"/>
                      <w:sz w:val="21"/>
                      <w:szCs w:val="21"/>
                      <w:highlight w:val="none"/>
                      <w:lang w:val="en-US" w:eastAsia="zh-CN" w:bidi="ar"/>
                    </w:rPr>
                  </w:pPr>
                  <w:r>
                    <w:rPr>
                      <w:rFonts w:hint="default" w:ascii="Times New Roman" w:hAnsi="Times New Roman" w:cs="Times New Roman" w:eastAsiaTheme="minorEastAsia"/>
                      <w:kern w:val="0"/>
                      <w:sz w:val="21"/>
                      <w:szCs w:val="21"/>
                      <w:highlight w:val="none"/>
                      <w:lang w:val="en-US" w:eastAsia="zh-CN" w:bidi="ar"/>
                    </w:rPr>
                    <w:t>厂界下风向设3个监控点</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硫酸雾</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氨</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369" w:type="dxa"/>
                  <w:vMerge w:val="continue"/>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p>
              </w:tc>
              <w:tc>
                <w:tcPr>
                  <w:tcW w:w="2482" w:type="dxa"/>
                  <w:tcBorders>
                    <w:left w:val="single" w:color="auto" w:sz="2" w:space="0"/>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sz w:val="21"/>
                      <w:szCs w:val="21"/>
                      <w:lang w:val="en-US" w:eastAsia="zh-CN"/>
                    </w:rPr>
                    <w:t>厂界四周</w:t>
                  </w:r>
                </w:p>
              </w:tc>
              <w:tc>
                <w:tcPr>
                  <w:tcW w:w="2482" w:type="dxa"/>
                  <w:tcBorders>
                    <w:right w:val="single" w:color="auto" w:sz="4" w:space="0"/>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sz w:val="21"/>
                      <w:szCs w:val="21"/>
                      <w:lang w:val="en-US" w:eastAsia="zh-CN"/>
                    </w:rPr>
                    <w:t>噪声</w:t>
                  </w:r>
                </w:p>
              </w:tc>
              <w:tc>
                <w:tcPr>
                  <w:tcW w:w="2361" w:type="dxa"/>
                  <w:noWrap w:val="0"/>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sz w:val="21"/>
                      <w:szCs w:val="21"/>
                    </w:rPr>
                    <w:t>连续2天，昼、夜间各1次</w:t>
                  </w:r>
                </w:p>
              </w:tc>
            </w:tr>
          </w:tbl>
          <w:p>
            <w:pPr>
              <w:pageBreakBefore w:val="0"/>
              <w:numPr>
                <w:ilvl w:val="0"/>
                <w:numId w:val="0"/>
              </w:numPr>
              <w:autoSpaceDE/>
              <w:autoSpaceDN/>
              <w:bidi w:val="0"/>
              <w:snapToGrid/>
              <w:spacing w:before="0" w:after="0" w:line="360" w:lineRule="auto"/>
              <w:ind w:right="0" w:firstLine="0"/>
              <w:jc w:val="left"/>
              <w:rPr>
                <w:rFonts w:hint="default" w:ascii="Times New Roman" w:hAnsi="宋体" w:eastAsia="宋体"/>
                <w:b/>
                <w:color w:val="auto"/>
                <w:position w:val="0"/>
                <w:sz w:val="21"/>
                <w:szCs w:val="21"/>
              </w:rPr>
            </w:pPr>
          </w:p>
          <w:p>
            <w:pPr>
              <w:pageBreakBefore w:val="0"/>
              <w:numPr>
                <w:ilvl w:val="0"/>
                <w:numId w:val="0"/>
              </w:numPr>
              <w:autoSpaceDE/>
              <w:autoSpaceDN/>
              <w:bidi w:val="0"/>
              <w:snapToGrid w:val="0"/>
              <w:spacing w:before="0" w:after="0" w:line="360" w:lineRule="auto"/>
              <w:ind w:right="0" w:firstLine="422"/>
              <w:jc w:val="left"/>
              <w:rPr>
                <w:rFonts w:hint="default" w:ascii="Times New Roman" w:hAnsi="宋体" w:eastAsia="宋体"/>
                <w:b/>
                <w:color w:val="auto"/>
                <w:position w:val="0"/>
                <w:sz w:val="21"/>
                <w:szCs w:val="21"/>
              </w:rPr>
            </w:pPr>
          </w:p>
          <w:p>
            <w:pPr>
              <w:pageBreakBefore w:val="0"/>
              <w:numPr>
                <w:ilvl w:val="0"/>
                <w:numId w:val="0"/>
              </w:numPr>
              <w:autoSpaceDE/>
              <w:autoSpaceDN/>
              <w:bidi w:val="0"/>
              <w:snapToGrid w:val="0"/>
              <w:spacing w:before="0" w:after="0" w:line="360" w:lineRule="auto"/>
              <w:ind w:right="0" w:rightChars="0"/>
              <w:jc w:val="left"/>
              <w:rPr>
                <w:rFonts w:hint="default" w:ascii="Times New Roman" w:hAnsi="宋体" w:eastAsia="宋体"/>
                <w:b/>
                <w:color w:val="auto"/>
                <w:position w:val="0"/>
                <w:sz w:val="21"/>
                <w:szCs w:val="21"/>
              </w:rPr>
            </w:pPr>
            <w:r>
              <w:rPr>
                <w:rFonts w:hint="eastAsia" w:ascii="Times New Roman" w:hAnsi="宋体" w:eastAsia="宋体"/>
                <w:b/>
                <w:color w:val="auto"/>
                <w:position w:val="0"/>
                <w:sz w:val="21"/>
                <w:szCs w:val="21"/>
                <w:lang w:val="en-US" w:eastAsia="zh-CN"/>
              </w:rPr>
              <w:t>2、</w:t>
            </w:r>
            <w:r>
              <w:rPr>
                <w:rFonts w:hint="default" w:ascii="Times New Roman" w:hAnsi="宋体" w:eastAsia="宋体"/>
                <w:b/>
                <w:color w:val="auto"/>
                <w:position w:val="0"/>
                <w:sz w:val="21"/>
                <w:szCs w:val="21"/>
              </w:rPr>
              <w:t>厂界布点及点位示意图</w:t>
            </w:r>
          </w:p>
          <w:p>
            <w:pPr>
              <w:pStyle w:val="40"/>
              <w:numPr>
                <w:ilvl w:val="0"/>
                <w:numId w:val="0"/>
              </w:numPr>
              <w:autoSpaceDE w:val="0"/>
              <w:autoSpaceDN w:val="0"/>
              <w:spacing w:before="0" w:after="160" w:line="240" w:lineRule="auto"/>
              <w:ind w:right="0" w:firstLine="0"/>
              <w:jc w:val="left"/>
              <w:rPr>
                <w:rFonts w:hint="default" w:ascii="Times New Roman" w:hAnsi="宋体" w:eastAsia="宋体"/>
                <w:color w:val="000000"/>
                <w:position w:val="0"/>
                <w:sz w:val="21"/>
                <w:szCs w:val="21"/>
              </w:rPr>
            </w:pPr>
          </w:p>
          <w:p>
            <w:pPr>
              <w:pageBreakBefore w:val="0"/>
              <w:numPr>
                <w:ilvl w:val="0"/>
                <w:numId w:val="0"/>
              </w:numPr>
              <w:autoSpaceDE/>
              <w:autoSpaceDN/>
              <w:bidi w:val="0"/>
              <w:snapToGrid w:val="0"/>
              <w:spacing w:before="0" w:after="0" w:line="360" w:lineRule="auto"/>
              <w:ind w:right="0" w:firstLine="420"/>
              <w:jc w:val="left"/>
              <w:rPr>
                <w:rFonts w:hint="default" w:ascii="Times New Roman" w:hAnsi="宋体" w:eastAsia="宋体"/>
                <w:color w:val="0000FF"/>
                <w:position w:val="0"/>
                <w:sz w:val="21"/>
                <w:szCs w:val="21"/>
              </w:rPr>
            </w:pPr>
          </w:p>
          <w:p>
            <w:pPr>
              <w:pStyle w:val="64"/>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0000FF"/>
                <w:position w:val="0"/>
                <w:sz w:val="21"/>
                <w:szCs w:val="21"/>
              </w:rPr>
            </w:pPr>
            <w:r>
              <w:rPr>
                <w:rFonts w:hint="default" w:ascii="Times New Roman" w:hAnsi="宋体" w:eastAsia="宋体"/>
                <w:color w:val="0000FF"/>
                <w:position w:val="0"/>
                <w:sz w:val="21"/>
                <w:szCs w:val="21"/>
              </w:rPr>
              <w:drawing>
                <wp:inline distT="0" distB="0" distL="114300" distR="114300">
                  <wp:extent cx="5528310" cy="3781425"/>
                  <wp:effectExtent l="0" t="0" r="15240" b="9525"/>
                  <wp:docPr id="19" name="图片 19" descr="157577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75771242(1)"/>
                          <pic:cNvPicPr>
                            <a:picLocks noChangeAspect="1"/>
                          </pic:cNvPicPr>
                        </pic:nvPicPr>
                        <pic:blipFill>
                          <a:blip r:embed="rId15"/>
                          <a:stretch>
                            <a:fillRect/>
                          </a:stretch>
                        </pic:blipFill>
                        <pic:spPr>
                          <a:xfrm>
                            <a:off x="0" y="0"/>
                            <a:ext cx="5528310" cy="3781425"/>
                          </a:xfrm>
                          <a:prstGeom prst="rect">
                            <a:avLst/>
                          </a:prstGeom>
                        </pic:spPr>
                      </pic:pic>
                    </a:graphicData>
                  </a:graphic>
                </wp:inline>
              </w:drawing>
            </w:r>
          </w:p>
        </w:tc>
      </w:tr>
    </w:tbl>
    <w:p>
      <w:pPr>
        <w:numPr>
          <w:ilvl w:val="0"/>
          <w:numId w:val="0"/>
        </w:numPr>
        <w:wordWrap w:val="0"/>
        <w:spacing w:before="0" w:after="0" w:line="240" w:lineRule="auto"/>
        <w:ind w:right="0" w:firstLine="0"/>
        <w:jc w:val="left"/>
        <w:rPr>
          <w:rFonts w:hint="default" w:ascii="宋体" w:hAnsi="宋体" w:eastAsia="宋体"/>
          <w:b/>
          <w:color w:val="0000FF"/>
          <w:position w:val="0"/>
          <w:sz w:val="24"/>
          <w:szCs w:val="24"/>
        </w:rPr>
        <w:sectPr>
          <w:footerReference r:id="rId5" w:type="default"/>
          <w:pgSz w:w="11906" w:h="16838"/>
          <w:pgMar w:top="1440" w:right="1800" w:bottom="1440" w:left="1800" w:header="708" w:footer="708" w:gutter="0"/>
          <w:pgNumType w:fmt="numberInDash"/>
          <w:docGrid w:linePitch="360" w:charSpace="0"/>
        </w:sectPr>
      </w:pPr>
    </w:p>
    <w:tbl>
      <w:tblPr>
        <w:tblStyle w:val="34"/>
        <w:tblW w:w="82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29" w:hRule="atLeast"/>
          <w:jc w:val="center"/>
        </w:trPr>
        <w:tc>
          <w:tcPr>
            <w:tcW w:w="8240" w:type="dxa"/>
            <w:vAlign w:val="top"/>
          </w:tcPr>
          <w:p>
            <w:pPr>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30" w:name="_Toc9374"/>
            <w:bookmarkStart w:id="31" w:name="_Toc6181"/>
            <w:bookmarkStart w:id="32" w:name="_Toc959"/>
            <w:bookmarkStart w:id="33" w:name="_Toc5212"/>
            <w:r>
              <w:rPr>
                <w:rFonts w:hint="default" w:ascii="宋体" w:hAnsi="宋体" w:eastAsia="宋体"/>
                <w:b/>
                <w:color w:val="auto"/>
                <w:position w:val="0"/>
                <w:sz w:val="24"/>
                <w:szCs w:val="24"/>
              </w:rPr>
              <w:t>表七</w:t>
            </w:r>
            <w:bookmarkEnd w:id="30"/>
          </w:p>
          <w:p>
            <w:pPr>
              <w:pageBreakBefore w:val="0"/>
              <w:numPr>
                <w:ilvl w:val="0"/>
                <w:numId w:val="0"/>
              </w:numPr>
              <w:autoSpaceDE/>
              <w:autoSpaceDN/>
              <w:bidi w:val="0"/>
              <w:snapToGrid/>
              <w:spacing w:before="0" w:after="0" w:line="360" w:lineRule="auto"/>
              <w:ind w:right="0" w:firstLine="0"/>
              <w:jc w:val="both"/>
              <w:outlineLvl w:val="0"/>
              <w:rPr>
                <w:rFonts w:hint="default"/>
              </w:rPr>
            </w:pPr>
            <w:r>
              <w:rPr>
                <w:rFonts w:hint="default"/>
              </w:rPr>
              <w:t>验收检测结果</w:t>
            </w:r>
            <w:bookmarkEnd w:id="31"/>
            <w:bookmarkEnd w:id="32"/>
            <w:bookmarkEnd w:id="33"/>
          </w:p>
          <w:p>
            <w:pPr>
              <w:pageBreakBefore w:val="0"/>
              <w:numPr>
                <w:ilvl w:val="0"/>
                <w:numId w:val="0"/>
              </w:numPr>
              <w:autoSpaceDE/>
              <w:autoSpaceDN/>
              <w:bidi w:val="0"/>
              <w:snapToGrid/>
              <w:spacing w:before="0" w:after="0" w:line="360" w:lineRule="auto"/>
              <w:ind w:right="0" w:firstLine="480"/>
              <w:jc w:val="both"/>
              <w:rPr>
                <w:rFonts w:hint="default"/>
              </w:rPr>
            </w:pPr>
            <w:r>
              <w:rPr>
                <w:rFonts w:hint="default"/>
              </w:rPr>
              <w:t>1、验收监测期间生产工况记录：</w:t>
            </w:r>
          </w:p>
          <w:p>
            <w:pPr>
              <w:pageBreakBefore w:val="0"/>
              <w:numPr>
                <w:ilvl w:val="0"/>
                <w:numId w:val="0"/>
              </w:numPr>
              <w:autoSpaceDE/>
              <w:autoSpaceDN/>
              <w:bidi w:val="0"/>
              <w:snapToGrid w:val="0"/>
              <w:spacing w:before="0" w:after="0" w:line="360" w:lineRule="auto"/>
              <w:ind w:right="0" w:firstLine="480"/>
              <w:jc w:val="both"/>
              <w:rPr>
                <w:rFonts w:hint="default"/>
              </w:rPr>
            </w:pPr>
            <w:r>
              <w:rPr>
                <w:rFonts w:hint="default"/>
              </w:rPr>
              <w:t>2019年</w:t>
            </w:r>
            <w:r>
              <w:rPr>
                <w:rFonts w:hint="eastAsia" w:eastAsia="宋体"/>
                <w:lang w:val="en-US" w:eastAsia="zh-CN"/>
              </w:rPr>
              <w:t>11</w:t>
            </w:r>
            <w:r>
              <w:rPr>
                <w:rFonts w:hint="default"/>
              </w:rPr>
              <w:t>月</w:t>
            </w:r>
            <w:r>
              <w:rPr>
                <w:rFonts w:hint="eastAsia" w:eastAsia="宋体"/>
                <w:lang w:val="en-US" w:eastAsia="zh-CN"/>
              </w:rPr>
              <w:t>25</w:t>
            </w:r>
            <w:r>
              <w:rPr>
                <w:rFonts w:hint="default"/>
              </w:rPr>
              <w:t>日至</w:t>
            </w:r>
            <w:r>
              <w:rPr>
                <w:rFonts w:hint="eastAsia"/>
                <w:lang w:val="en-US" w:eastAsia="zh-CN"/>
              </w:rPr>
              <w:t>26</w:t>
            </w:r>
            <w:r>
              <w:rPr>
                <w:rFonts w:hint="default"/>
              </w:rPr>
              <w:t>日验收监测期间，企业正常生产，污染治理设施运转正常。本项目设计生产能力为</w:t>
            </w:r>
            <w:r>
              <w:rPr>
                <w:rFonts w:hint="eastAsia"/>
                <w:lang w:val="en-US" w:eastAsia="zh-CN"/>
              </w:rPr>
              <w:t xml:space="preserve">年产40吨发制品项目  </w:t>
            </w:r>
            <w:r>
              <w:rPr>
                <w:rFonts w:hint="default"/>
              </w:rPr>
              <w:t>。年工作300天，一班制8小时生产。验收监测期间工况见表7-1。</w:t>
            </w:r>
          </w:p>
          <w:p>
            <w:pPr>
              <w:pStyle w:val="21"/>
              <w:pageBreakBefore w:val="0"/>
              <w:numPr>
                <w:ilvl w:val="0"/>
                <w:numId w:val="0"/>
              </w:numPr>
              <w:autoSpaceDE/>
              <w:autoSpaceDN/>
              <w:bidi w:val="0"/>
              <w:snapToGrid/>
              <w:spacing w:before="0" w:after="0" w:line="360" w:lineRule="auto"/>
              <w:ind w:right="0" w:firstLine="0"/>
              <w:jc w:val="center"/>
              <w:rPr>
                <w:rFonts w:hint="default"/>
              </w:rPr>
            </w:pPr>
            <w:r>
              <w:rPr>
                <w:rFonts w:hint="default"/>
              </w:rPr>
              <w:t>表7-1 监测期间工况记录表</w:t>
            </w:r>
          </w:p>
          <w:tbl>
            <w:tblPr>
              <w:tblStyle w:val="34"/>
              <w:tblW w:w="80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2"/>
              <w:gridCol w:w="1208"/>
              <w:gridCol w:w="1064"/>
              <w:gridCol w:w="1732"/>
              <w:gridCol w:w="1551"/>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jc w:val="center"/>
              </w:trPr>
              <w:tc>
                <w:tcPr>
                  <w:tcW w:w="1502" w:type="dxa"/>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default"/>
                    </w:rPr>
                    <w:t>监测时间</w:t>
                  </w:r>
                </w:p>
              </w:tc>
              <w:tc>
                <w:tcPr>
                  <w:tcW w:w="1208" w:type="dxa"/>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default"/>
                    </w:rPr>
                    <w:t>生产产品</w:t>
                  </w:r>
                </w:p>
              </w:tc>
              <w:tc>
                <w:tcPr>
                  <w:tcW w:w="1064" w:type="dxa"/>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default"/>
                    </w:rPr>
                    <w:t>单位</w:t>
                  </w:r>
                </w:p>
              </w:tc>
              <w:tc>
                <w:tcPr>
                  <w:tcW w:w="1732" w:type="dxa"/>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default"/>
                    </w:rPr>
                    <w:t>设计生产能力</w:t>
                  </w:r>
                </w:p>
              </w:tc>
              <w:tc>
                <w:tcPr>
                  <w:tcW w:w="1551" w:type="dxa"/>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default"/>
                    </w:rPr>
                    <w:t>实际日均生产量</w:t>
                  </w:r>
                </w:p>
              </w:tc>
              <w:tc>
                <w:tcPr>
                  <w:tcW w:w="957" w:type="dxa"/>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default"/>
                    </w:rPr>
                    <w:t>生产负荷%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1502" w:type="dxa"/>
                  <w:vAlign w:val="center"/>
                </w:tcPr>
                <w:p>
                  <w:pPr>
                    <w:pageBreakBefore w:val="0"/>
                    <w:numPr>
                      <w:ilvl w:val="0"/>
                      <w:numId w:val="0"/>
                    </w:numPr>
                    <w:autoSpaceDE/>
                    <w:autoSpaceDN/>
                    <w:bidi w:val="0"/>
                    <w:snapToGrid/>
                    <w:spacing w:before="0" w:after="0" w:line="240" w:lineRule="auto"/>
                    <w:ind w:right="0" w:firstLine="0"/>
                    <w:jc w:val="center"/>
                    <w:rPr>
                      <w:rFonts w:hint="default" w:eastAsia="宋体"/>
                      <w:lang w:val="en-US" w:eastAsia="zh-CN"/>
                    </w:rPr>
                  </w:pPr>
                  <w:r>
                    <w:rPr>
                      <w:rFonts w:hint="default"/>
                    </w:rPr>
                    <w:t>2019-</w:t>
                  </w:r>
                  <w:r>
                    <w:rPr>
                      <w:rFonts w:hint="eastAsia" w:eastAsia="宋体"/>
                      <w:lang w:val="en-US" w:eastAsia="zh-CN"/>
                    </w:rPr>
                    <w:t>11</w:t>
                  </w:r>
                  <w:r>
                    <w:rPr>
                      <w:rFonts w:hint="default"/>
                    </w:rPr>
                    <w:t>-</w:t>
                  </w:r>
                  <w:r>
                    <w:rPr>
                      <w:rFonts w:hint="eastAsia" w:eastAsia="宋体"/>
                      <w:lang w:val="en-US" w:eastAsia="zh-CN"/>
                    </w:rPr>
                    <w:t>25</w:t>
                  </w:r>
                </w:p>
              </w:tc>
              <w:tc>
                <w:tcPr>
                  <w:tcW w:w="1208" w:type="dxa"/>
                  <w:vMerge w:val="restart"/>
                  <w:vAlign w:val="center"/>
                </w:tcPr>
                <w:p>
                  <w:pPr>
                    <w:pageBreakBefore w:val="0"/>
                    <w:numPr>
                      <w:ilvl w:val="0"/>
                      <w:numId w:val="0"/>
                    </w:numPr>
                    <w:autoSpaceDE/>
                    <w:autoSpaceDN/>
                    <w:bidi w:val="0"/>
                    <w:snapToGrid/>
                    <w:spacing w:before="0" w:after="0" w:line="240" w:lineRule="auto"/>
                    <w:ind w:right="0" w:firstLine="0"/>
                    <w:jc w:val="center"/>
                    <w:rPr>
                      <w:rFonts w:hint="default"/>
                      <w:lang w:val="en-US" w:eastAsia="zh-CN"/>
                    </w:rPr>
                  </w:pPr>
                  <w:r>
                    <w:rPr>
                      <w:rFonts w:hint="eastAsia"/>
                      <w:lang w:val="en-US" w:eastAsia="zh-CN"/>
                    </w:rPr>
                    <w:t>发制品</w:t>
                  </w:r>
                </w:p>
              </w:tc>
              <w:tc>
                <w:tcPr>
                  <w:tcW w:w="1064" w:type="dxa"/>
                  <w:vMerge w:val="restart"/>
                  <w:vAlign w:val="center"/>
                </w:tcPr>
                <w:p>
                  <w:pPr>
                    <w:pageBreakBefore w:val="0"/>
                    <w:numPr>
                      <w:ilvl w:val="0"/>
                      <w:numId w:val="0"/>
                    </w:numPr>
                    <w:autoSpaceDE/>
                    <w:autoSpaceDN/>
                    <w:bidi w:val="0"/>
                    <w:snapToGrid/>
                    <w:spacing w:before="0" w:after="0" w:line="240" w:lineRule="auto"/>
                    <w:ind w:right="0" w:firstLine="0"/>
                    <w:jc w:val="center"/>
                    <w:rPr>
                      <w:rFonts w:hint="default"/>
                    </w:rPr>
                  </w:pPr>
                  <w:r>
                    <w:rPr>
                      <w:rFonts w:hint="eastAsia"/>
                      <w:lang w:val="en-US" w:eastAsia="zh-CN"/>
                    </w:rPr>
                    <w:t>条</w:t>
                  </w:r>
                  <w:r>
                    <w:rPr>
                      <w:rFonts w:hint="default"/>
                    </w:rPr>
                    <w:t>/d</w:t>
                  </w:r>
                </w:p>
              </w:tc>
              <w:tc>
                <w:tcPr>
                  <w:tcW w:w="1732" w:type="dxa"/>
                  <w:vMerge w:val="restart"/>
                  <w:vAlign w:val="center"/>
                </w:tcPr>
                <w:p>
                  <w:pPr>
                    <w:pageBreakBefore w:val="0"/>
                    <w:numPr>
                      <w:ilvl w:val="0"/>
                      <w:numId w:val="0"/>
                    </w:numPr>
                    <w:autoSpaceDE/>
                    <w:autoSpaceDN/>
                    <w:bidi w:val="0"/>
                    <w:snapToGrid/>
                    <w:spacing w:before="0" w:after="0" w:line="240" w:lineRule="auto"/>
                    <w:ind w:right="0" w:firstLine="0"/>
                    <w:jc w:val="center"/>
                    <w:rPr>
                      <w:rFonts w:hint="default"/>
                      <w:lang w:val="en-US" w:eastAsia="zh-CN"/>
                    </w:rPr>
                  </w:pPr>
                  <w:r>
                    <w:rPr>
                      <w:rFonts w:hint="eastAsia"/>
                      <w:lang w:val="en-US" w:eastAsia="zh-CN"/>
                    </w:rPr>
                    <w:t>1666</w:t>
                  </w:r>
                </w:p>
              </w:tc>
              <w:tc>
                <w:tcPr>
                  <w:tcW w:w="1551" w:type="dxa"/>
                  <w:vAlign w:val="center"/>
                </w:tcPr>
                <w:p>
                  <w:pPr>
                    <w:pageBreakBefore w:val="0"/>
                    <w:numPr>
                      <w:ilvl w:val="0"/>
                      <w:numId w:val="0"/>
                    </w:numPr>
                    <w:autoSpaceDE/>
                    <w:autoSpaceDN/>
                    <w:bidi w:val="0"/>
                    <w:snapToGrid/>
                    <w:spacing w:before="0" w:after="0" w:line="240" w:lineRule="auto"/>
                    <w:ind w:right="0" w:firstLine="0"/>
                    <w:jc w:val="center"/>
                    <w:rPr>
                      <w:rFonts w:hint="default"/>
                      <w:lang w:val="en-US" w:eastAsia="zh-CN"/>
                    </w:rPr>
                  </w:pPr>
                  <w:r>
                    <w:rPr>
                      <w:rFonts w:hint="eastAsia"/>
                      <w:lang w:val="en-US" w:eastAsia="zh-CN"/>
                    </w:rPr>
                    <w:t>1416</w:t>
                  </w:r>
                </w:p>
              </w:tc>
              <w:tc>
                <w:tcPr>
                  <w:tcW w:w="957" w:type="dxa"/>
                  <w:vAlign w:val="center"/>
                </w:tcPr>
                <w:p>
                  <w:pPr>
                    <w:pageBreakBefore w:val="0"/>
                    <w:numPr>
                      <w:ilvl w:val="0"/>
                      <w:numId w:val="0"/>
                    </w:numPr>
                    <w:autoSpaceDE/>
                    <w:autoSpaceDN/>
                    <w:bidi w:val="0"/>
                    <w:snapToGrid/>
                    <w:spacing w:before="0" w:after="0" w:line="240" w:lineRule="auto"/>
                    <w:ind w:right="0" w:firstLine="0"/>
                    <w:jc w:val="center"/>
                    <w:rPr>
                      <w:rFonts w:hint="default"/>
                      <w:lang w:val="en-US" w:eastAsia="zh-CN"/>
                    </w:rPr>
                  </w:pPr>
                  <w:r>
                    <w:rPr>
                      <w:rFonts w:hint="eastAsia"/>
                      <w:lang w:val="en-US" w:eastAsia="zh-CN"/>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trPr>
              <w:tc>
                <w:tcPr>
                  <w:tcW w:w="1502" w:type="dxa"/>
                  <w:vAlign w:val="center"/>
                </w:tcPr>
                <w:p>
                  <w:pPr>
                    <w:pageBreakBefore w:val="0"/>
                    <w:numPr>
                      <w:ilvl w:val="0"/>
                      <w:numId w:val="0"/>
                    </w:numPr>
                    <w:autoSpaceDE/>
                    <w:autoSpaceDN/>
                    <w:bidi w:val="0"/>
                    <w:snapToGrid/>
                    <w:spacing w:before="0" w:after="0" w:line="240" w:lineRule="auto"/>
                    <w:ind w:right="0" w:firstLine="0"/>
                    <w:jc w:val="center"/>
                    <w:rPr>
                      <w:rFonts w:hint="default"/>
                      <w:lang w:val="en-US" w:eastAsia="zh-CN"/>
                    </w:rPr>
                  </w:pPr>
                  <w:r>
                    <w:rPr>
                      <w:rFonts w:hint="default"/>
                    </w:rPr>
                    <w:t>2019-</w:t>
                  </w:r>
                  <w:r>
                    <w:rPr>
                      <w:rFonts w:hint="eastAsia" w:eastAsia="宋体"/>
                      <w:lang w:val="en-US" w:eastAsia="zh-CN"/>
                    </w:rPr>
                    <w:t>11</w:t>
                  </w:r>
                  <w:r>
                    <w:rPr>
                      <w:rFonts w:hint="default"/>
                    </w:rPr>
                    <w:t>-</w:t>
                  </w:r>
                  <w:r>
                    <w:rPr>
                      <w:rFonts w:hint="eastAsia"/>
                      <w:lang w:val="en-US" w:eastAsia="zh-CN"/>
                    </w:rPr>
                    <w:t>26</w:t>
                  </w:r>
                </w:p>
              </w:tc>
              <w:tc>
                <w:tcPr>
                  <w:tcW w:w="1208" w:type="dxa"/>
                  <w:vMerge w:val="continue"/>
                  <w:vAlign w:val="center"/>
                </w:tcPr>
                <w:p>
                  <w:pPr>
                    <w:jc w:val="both"/>
                  </w:pPr>
                </w:p>
              </w:tc>
              <w:tc>
                <w:tcPr>
                  <w:tcW w:w="1064" w:type="dxa"/>
                  <w:vMerge w:val="continue"/>
                  <w:vAlign w:val="center"/>
                </w:tcPr>
                <w:p>
                  <w:pPr>
                    <w:jc w:val="both"/>
                  </w:pPr>
                </w:p>
              </w:tc>
              <w:tc>
                <w:tcPr>
                  <w:tcW w:w="1732" w:type="dxa"/>
                  <w:vMerge w:val="continue"/>
                  <w:vAlign w:val="center"/>
                </w:tcPr>
                <w:p>
                  <w:pPr>
                    <w:pageBreakBefore w:val="0"/>
                    <w:numPr>
                      <w:ilvl w:val="0"/>
                      <w:numId w:val="0"/>
                    </w:numPr>
                    <w:autoSpaceDE/>
                    <w:autoSpaceDN/>
                    <w:bidi w:val="0"/>
                    <w:snapToGrid/>
                    <w:spacing w:before="0" w:after="0" w:line="240" w:lineRule="auto"/>
                    <w:ind w:right="0" w:firstLine="0"/>
                    <w:jc w:val="center"/>
                    <w:rPr>
                      <w:rFonts w:hint="default"/>
                    </w:rPr>
                  </w:pPr>
                </w:p>
              </w:tc>
              <w:tc>
                <w:tcPr>
                  <w:tcW w:w="1551" w:type="dxa"/>
                  <w:vAlign w:val="center"/>
                </w:tcPr>
                <w:p>
                  <w:pPr>
                    <w:pageBreakBefore w:val="0"/>
                    <w:numPr>
                      <w:ilvl w:val="0"/>
                      <w:numId w:val="0"/>
                    </w:numPr>
                    <w:autoSpaceDE/>
                    <w:autoSpaceDN/>
                    <w:bidi w:val="0"/>
                    <w:snapToGrid/>
                    <w:spacing w:before="0" w:after="0" w:line="240" w:lineRule="auto"/>
                    <w:ind w:right="0" w:firstLine="0"/>
                    <w:jc w:val="center"/>
                    <w:rPr>
                      <w:rFonts w:hint="default"/>
                      <w:lang w:val="en-US" w:eastAsia="zh-CN"/>
                    </w:rPr>
                  </w:pPr>
                  <w:r>
                    <w:rPr>
                      <w:rFonts w:hint="eastAsia"/>
                      <w:lang w:val="en-US" w:eastAsia="zh-CN"/>
                    </w:rPr>
                    <w:t>1500</w:t>
                  </w:r>
                </w:p>
              </w:tc>
              <w:tc>
                <w:tcPr>
                  <w:tcW w:w="957" w:type="dxa"/>
                  <w:vAlign w:val="center"/>
                </w:tcPr>
                <w:p>
                  <w:pPr>
                    <w:pageBreakBefore w:val="0"/>
                    <w:numPr>
                      <w:ilvl w:val="0"/>
                      <w:numId w:val="0"/>
                    </w:numPr>
                    <w:autoSpaceDE/>
                    <w:autoSpaceDN/>
                    <w:bidi w:val="0"/>
                    <w:snapToGrid/>
                    <w:spacing w:before="0" w:after="0" w:line="240" w:lineRule="auto"/>
                    <w:ind w:right="0" w:firstLine="0"/>
                    <w:jc w:val="center"/>
                    <w:rPr>
                      <w:rFonts w:hint="default" w:eastAsia="宋体"/>
                      <w:lang w:val="en-US" w:eastAsia="zh-CN"/>
                    </w:rPr>
                  </w:pPr>
                  <w:r>
                    <w:rPr>
                      <w:rFonts w:hint="eastAsia" w:eastAsia="宋体"/>
                      <w:lang w:val="en-US" w:eastAsia="zh-CN"/>
                    </w:rPr>
                    <w:t>90</w:t>
                  </w:r>
                </w:p>
              </w:tc>
            </w:tr>
          </w:tbl>
          <w:p>
            <w:pPr>
              <w:pageBreakBefore w:val="0"/>
              <w:numPr>
                <w:ilvl w:val="0"/>
                <w:numId w:val="0"/>
              </w:numPr>
              <w:autoSpaceDE/>
              <w:autoSpaceDN/>
              <w:bidi w:val="0"/>
              <w:snapToGrid/>
              <w:spacing w:before="0" w:after="0" w:line="360" w:lineRule="auto"/>
              <w:ind w:right="0" w:firstLine="480"/>
              <w:jc w:val="both"/>
              <w:rPr>
                <w:rFonts w:hint="default"/>
              </w:rPr>
            </w:pPr>
            <w:r>
              <w:rPr>
                <w:rFonts w:hint="default"/>
              </w:rPr>
              <w:t>2、检测结果</w:t>
            </w:r>
          </w:p>
          <w:p>
            <w:pPr>
              <w:pageBreakBefore w:val="0"/>
              <w:numPr>
                <w:ilvl w:val="0"/>
                <w:numId w:val="0"/>
              </w:numPr>
              <w:autoSpaceDE/>
              <w:autoSpaceDN/>
              <w:bidi w:val="0"/>
              <w:snapToGrid/>
              <w:spacing w:before="0" w:after="0" w:line="360" w:lineRule="auto"/>
              <w:ind w:right="0" w:firstLine="0"/>
              <w:jc w:val="both"/>
              <w:rPr>
                <w:rFonts w:hint="default" w:eastAsia="宋体"/>
                <w:lang w:val="en-US" w:eastAsia="zh-CN"/>
              </w:rPr>
            </w:pPr>
            <w:r>
              <w:rPr>
                <w:rFonts w:hint="default"/>
              </w:rPr>
              <w:t xml:space="preserve">    检测结果详见表7-2、7-3、7-4</w:t>
            </w:r>
            <w:r>
              <w:rPr>
                <w:rFonts w:hint="eastAsia" w:eastAsia="宋体"/>
                <w:lang w:eastAsia="zh-CN"/>
              </w:rPr>
              <w:t>、</w:t>
            </w:r>
            <w:r>
              <w:rPr>
                <w:rFonts w:hint="eastAsia" w:eastAsia="宋体"/>
                <w:lang w:val="en-US" w:eastAsia="zh-CN"/>
              </w:rPr>
              <w:t>7-5、7-6</w:t>
            </w:r>
            <w:r>
              <w:rPr>
                <w:rFonts w:hint="default"/>
              </w:rPr>
              <w:t>。</w:t>
            </w:r>
          </w:p>
          <w:p>
            <w:pPr>
              <w:pageBreakBefore w:val="0"/>
              <w:numPr>
                <w:ilvl w:val="0"/>
                <w:numId w:val="0"/>
              </w:numPr>
              <w:autoSpaceDE/>
              <w:autoSpaceDN/>
              <w:bidi w:val="0"/>
              <w:snapToGrid/>
              <w:spacing w:before="0" w:after="0" w:line="360" w:lineRule="auto"/>
              <w:ind w:right="0" w:firstLine="0"/>
              <w:jc w:val="center"/>
              <w:rPr>
                <w:rFonts w:hint="default"/>
              </w:rPr>
            </w:pPr>
            <w:r>
              <w:rPr>
                <w:rFonts w:hint="default"/>
              </w:rPr>
              <w:t>表7-2</w:t>
            </w:r>
            <w:r>
              <w:rPr>
                <w:rFonts w:hint="eastAsia" w:eastAsia="宋体"/>
                <w:lang w:val="en-US" w:eastAsia="zh-CN"/>
              </w:rPr>
              <w:t>-1</w:t>
            </w:r>
            <w:r>
              <w:rPr>
                <w:rFonts w:hint="eastAsia"/>
                <w:lang w:val="en-US" w:eastAsia="zh-CN"/>
              </w:rPr>
              <w:t>有</w:t>
            </w:r>
            <w:r>
              <w:rPr>
                <w:rFonts w:hint="default"/>
              </w:rPr>
              <w:t>组织废气检测结果一览表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95"/>
              <w:gridCol w:w="1060"/>
              <w:gridCol w:w="599"/>
              <w:gridCol w:w="461"/>
              <w:gridCol w:w="1060"/>
              <w:gridCol w:w="1060"/>
              <w:gridCol w:w="1060"/>
              <w:gridCol w:w="1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double" w:color="auto" w:sz="4" w:space="0"/>
                    <w:left w:val="nil"/>
                    <w:bottom w:val="single" w:color="auto" w:sz="4"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检测类别</w:t>
                  </w:r>
                </w:p>
              </w:tc>
              <w:tc>
                <w:tcPr>
                  <w:tcW w:w="875" w:type="pct"/>
                  <w:gridSpan w:val="2"/>
                  <w:tcBorders>
                    <w:top w:val="double" w:color="auto" w:sz="4" w:space="0"/>
                    <w:left w:val="single" w:color="auto" w:sz="4" w:space="0"/>
                    <w:bottom w:val="single" w:color="auto" w:sz="4" w:space="0"/>
                    <w:right w:val="single" w:color="auto" w:sz="6" w:space="0"/>
                  </w:tcBorders>
                  <w:noWrap w:val="0"/>
                  <w:vAlign w:val="center"/>
                </w:tcPr>
                <w:p>
                  <w:pPr>
                    <w:widowControl/>
                    <w:jc w:val="center"/>
                    <w:rPr>
                      <w:rFonts w:ascii="Times New Roman" w:cs="宋体"/>
                      <w:sz w:val="21"/>
                      <w:szCs w:val="21"/>
                    </w:rPr>
                  </w:pPr>
                  <w:r>
                    <w:rPr>
                      <w:rFonts w:hint="eastAsia" w:ascii="Times New Roman" w:cs="宋体"/>
                      <w:sz w:val="21"/>
                      <w:szCs w:val="21"/>
                    </w:rPr>
                    <w:t>有组织废气</w:t>
                  </w:r>
                </w:p>
              </w:tc>
              <w:tc>
                <w:tcPr>
                  <w:tcW w:w="805" w:type="pct"/>
                  <w:gridSpan w:val="2"/>
                  <w:tcBorders>
                    <w:top w:val="double" w:color="auto" w:sz="4" w:space="0"/>
                    <w:left w:val="single" w:color="auto" w:sz="6" w:space="0"/>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采样日期</w:t>
                  </w:r>
                </w:p>
              </w:tc>
              <w:tc>
                <w:tcPr>
                  <w:tcW w:w="1681" w:type="pct"/>
                  <w:gridSpan w:val="3"/>
                  <w:tcBorders>
                    <w:top w:val="double" w:color="auto" w:sz="4" w:space="0"/>
                    <w:left w:val="single" w:color="auto" w:sz="4" w:space="0"/>
                    <w:bottom w:val="single" w:color="auto" w:sz="4"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color w:val="auto"/>
                      <w:sz w:val="21"/>
                      <w:szCs w:val="21"/>
                    </w:rPr>
                    <w:t>2019.11.25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检测地点</w:t>
                  </w:r>
                </w:p>
              </w:tc>
              <w:tc>
                <w:tcPr>
                  <w:tcW w:w="1680" w:type="pct"/>
                  <w:gridSpan w:val="4"/>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酸洗排气筒进口</w:t>
                  </w:r>
                </w:p>
              </w:tc>
              <w:tc>
                <w:tcPr>
                  <w:tcW w:w="1681" w:type="pct"/>
                  <w:gridSpan w:val="3"/>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酸洗排气筒出口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single" w:color="auto" w:sz="4"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mc:AlternateContent>
                      <mc:Choice Requires="wps">
                        <w:drawing>
                          <wp:anchor distT="0" distB="0" distL="114300" distR="114300" simplePos="0" relativeHeight="251668480" behindDoc="0" locked="0" layoutInCell="1" allowOverlap="1">
                            <wp:simplePos x="0" y="0"/>
                            <wp:positionH relativeFrom="column">
                              <wp:posOffset>-46990</wp:posOffset>
                            </wp:positionH>
                            <wp:positionV relativeFrom="paragraph">
                              <wp:posOffset>-6350</wp:posOffset>
                            </wp:positionV>
                            <wp:extent cx="1911350" cy="422275"/>
                            <wp:effectExtent l="1270" t="4445" r="11430" b="11430"/>
                            <wp:wrapNone/>
                            <wp:docPr id="1" name="直接箭头连接符 1"/>
                            <wp:cNvGraphicFramePr/>
                            <a:graphic xmlns:a="http://schemas.openxmlformats.org/drawingml/2006/main">
                              <a:graphicData uri="http://schemas.microsoft.com/office/word/2010/wordprocessingShape">
                                <wps:wsp>
                                  <wps:cNvCnPr/>
                                  <wps:spPr>
                                    <a:xfrm>
                                      <a:off x="0" y="0"/>
                                      <a:ext cx="1911350" cy="4222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pt;margin-top:-0.5pt;height:33.25pt;width:150.5pt;z-index:251668480;mso-width-relative:page;mso-height-relative:page;" filled="f" stroked="t" coordsize="21600,21600" o:gfxdata="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rzIozYAAAA&#10;CAEAAA8AAAAAAAAAAQAgAAAAIgAAAGRycy9kb3ducmV2LnhtbFBLAQIUABQAAAAIAIdO4kBjiw0t&#10;5AEAAKMDAAAOAAAAAAAAAAEAIAAAACcBAABkcnMvZTJvRG9jLnhtbFBLBQYAAAAABgAGAFkBAAB9&#10;BQAAAAA=&#10;">
                            <v:fill on="f" focussize="0,0"/>
                            <v:stroke color="#000000" joinstyle="round"/>
                            <v:imagedata o:title=""/>
                            <o:lock v:ext="edit" aspectratio="f"/>
                          </v:shape>
                        </w:pict>
                      </mc:Fallback>
                    </mc:AlternateContent>
                  </w:r>
                  <w:r>
                    <w:rPr>
                      <w:rFonts w:hint="eastAsia" w:ascii="Times New Roman" w:cs="宋体"/>
                      <w:sz w:val="21"/>
                      <w:szCs w:val="21"/>
                    </w:rPr>
                    <w:t xml:space="preserve">           </w:t>
                  </w:r>
                  <w:r>
                    <w:rPr>
                      <w:rFonts w:ascii="Times New Roman" w:cs="宋体"/>
                      <w:sz w:val="21"/>
                      <w:szCs w:val="21"/>
                    </w:rPr>
                    <w:t xml:space="preserve">   </w:t>
                  </w:r>
                  <w:r>
                    <w:rPr>
                      <w:rFonts w:hint="eastAsia" w:ascii="Times New Roman" w:cs="宋体"/>
                      <w:sz w:val="21"/>
                      <w:szCs w:val="21"/>
                    </w:rPr>
                    <w:t xml:space="preserve"> 检测频次</w:t>
                  </w:r>
                </w:p>
                <w:p>
                  <w:pPr>
                    <w:widowControl/>
                    <w:ind w:firstLine="315" w:firstLineChars="150"/>
                    <w:rPr>
                      <w:rFonts w:ascii="Times New Roman" w:cs="宋体"/>
                      <w:sz w:val="21"/>
                      <w:szCs w:val="21"/>
                    </w:rPr>
                  </w:pPr>
                  <w:r>
                    <w:rPr>
                      <w:rFonts w:hint="eastAsia" w:ascii="Times New Roman" w:cs="宋体"/>
                      <w:sz w:val="21"/>
                      <w:szCs w:val="21"/>
                    </w:rPr>
                    <w:t>检测项目</w:t>
                  </w:r>
                </w:p>
              </w:tc>
              <w:tc>
                <w:tcPr>
                  <w:tcW w:w="559"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59" w:type="pct"/>
                  <w:gridSpan w:val="2"/>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6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c>
                <w:tcPr>
                  <w:tcW w:w="559"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59"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6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single" w:color="auto" w:sz="6" w:space="0"/>
                    <w:left w:val="nil"/>
                    <w:bottom w:val="single" w:color="auto" w:sz="6"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标干流量（Nm</w:t>
                  </w:r>
                  <w:r>
                    <w:rPr>
                      <w:rFonts w:hint="eastAsia" w:ascii="Times New Roman" w:cs="宋体"/>
                      <w:sz w:val="21"/>
                      <w:szCs w:val="21"/>
                      <w:vertAlign w:val="superscript"/>
                    </w:rPr>
                    <w:t>3</w:t>
                  </w:r>
                  <w:r>
                    <w:rPr>
                      <w:rFonts w:hint="eastAsia" w:ascii="Times New Roman" w:cs="宋体"/>
                      <w:sz w:val="21"/>
                      <w:szCs w:val="21"/>
                    </w:rPr>
                    <w:t>/h）</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2891</w:t>
                  </w:r>
                </w:p>
              </w:tc>
              <w:tc>
                <w:tcPr>
                  <w:tcW w:w="559"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2910</w:t>
                  </w:r>
                </w:p>
              </w:tc>
              <w:tc>
                <w:tcPr>
                  <w:tcW w:w="56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2941</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2561</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2603</w:t>
                  </w:r>
                </w:p>
              </w:tc>
              <w:tc>
                <w:tcPr>
                  <w:tcW w:w="56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2514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28" w:type="pct"/>
                  <w:vMerge w:val="restart"/>
                  <w:tcBorders>
                    <w:top w:val="single" w:color="auto" w:sz="6" w:space="0"/>
                    <w:left w:val="nil"/>
                    <w:bottom w:val="single" w:color="auto" w:sz="6" w:space="0"/>
                    <w:right w:val="single" w:color="auto" w:sz="6" w:space="0"/>
                  </w:tcBorders>
                  <w:noWrap w:val="0"/>
                  <w:vAlign w:val="center"/>
                </w:tcPr>
                <w:p>
                  <w:pPr>
                    <w:spacing w:line="312" w:lineRule="auto"/>
                    <w:jc w:val="center"/>
                    <w:rPr>
                      <w:rFonts w:hint="eastAsia" w:ascii="Times New Roman" w:cs="宋体"/>
                      <w:sz w:val="21"/>
                      <w:szCs w:val="21"/>
                    </w:rPr>
                  </w:pPr>
                  <w:r>
                    <w:rPr>
                      <w:rFonts w:hint="eastAsia" w:ascii="Times New Roman"/>
                      <w:sz w:val="21"/>
                      <w:szCs w:val="21"/>
                    </w:rPr>
                    <w:t>硫酸雾</w:t>
                  </w:r>
                </w:p>
              </w:tc>
              <w:tc>
                <w:tcPr>
                  <w:tcW w:w="1009"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实测浓度（mg/m</w:t>
                  </w:r>
                  <w:r>
                    <w:rPr>
                      <w:rFonts w:hint="eastAsia" w:ascii="Times New Roman" w:cs="宋体"/>
                      <w:sz w:val="21"/>
                      <w:szCs w:val="21"/>
                      <w:vertAlign w:val="superscript"/>
                    </w:rPr>
                    <w:t>3</w:t>
                  </w:r>
                  <w:r>
                    <w:rPr>
                      <w:rFonts w:hint="eastAsia" w:ascii="Times New Roman" w:cs="宋体"/>
                      <w:sz w:val="21"/>
                      <w:szCs w:val="21"/>
                    </w:rPr>
                    <w:t>）</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5.23</w:t>
                  </w:r>
                </w:p>
              </w:tc>
              <w:tc>
                <w:tcPr>
                  <w:tcW w:w="559" w:type="pct"/>
                  <w:gridSpan w:val="2"/>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5.16</w:t>
                  </w:r>
                </w:p>
              </w:tc>
              <w:tc>
                <w:tcPr>
                  <w:tcW w:w="56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4.89</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2.14</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2.32</w:t>
                  </w:r>
                </w:p>
              </w:tc>
              <w:tc>
                <w:tcPr>
                  <w:tcW w:w="56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28" w:type="pct"/>
                  <w:vMerge w:val="continue"/>
                  <w:tcBorders>
                    <w:top w:val="single" w:color="auto" w:sz="6" w:space="0"/>
                    <w:left w:val="nil"/>
                    <w:bottom w:val="single" w:color="auto" w:sz="6" w:space="0"/>
                    <w:right w:val="single" w:color="auto" w:sz="6" w:space="0"/>
                  </w:tcBorders>
                  <w:noWrap w:val="0"/>
                  <w:vAlign w:val="center"/>
                </w:tcPr>
                <w:p>
                  <w:pPr>
                    <w:widowControl/>
                    <w:jc w:val="center"/>
                    <w:rPr>
                      <w:rFonts w:ascii="Times New Roman" w:cs="宋体"/>
                      <w:sz w:val="21"/>
                      <w:szCs w:val="21"/>
                    </w:rPr>
                  </w:pPr>
                </w:p>
              </w:tc>
              <w:tc>
                <w:tcPr>
                  <w:tcW w:w="1009"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排放速率（kg/h）</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1.51</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59"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1.50</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6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sz w:val="21"/>
                      <w:szCs w:val="21"/>
                    </w:rPr>
                  </w:pPr>
                  <w:r>
                    <w:rPr>
                      <w:rFonts w:hint="eastAsia" w:ascii="Times New Roman"/>
                      <w:sz w:val="21"/>
                      <w:szCs w:val="21"/>
                    </w:rPr>
                    <w:t>1.44</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5.48</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59" w:type="pct"/>
                  <w:tcBorders>
                    <w:top w:val="single" w:color="auto" w:sz="6" w:space="0"/>
                    <w:left w:val="single" w:color="auto" w:sz="4" w:space="0"/>
                    <w:bottom w:val="single" w:color="auto" w:sz="6" w:space="0"/>
                    <w:right w:val="nil"/>
                  </w:tcBorders>
                  <w:noWrap w:val="0"/>
                  <w:vAlign w:val="center"/>
                </w:tcPr>
                <w:p>
                  <w:pPr>
                    <w:widowControl/>
                    <w:jc w:val="center"/>
                    <w:textAlignment w:val="center"/>
                    <w:rPr>
                      <w:rFonts w:ascii="Times New Roman" w:cs="宋体"/>
                      <w:sz w:val="21"/>
                      <w:szCs w:val="21"/>
                    </w:rPr>
                  </w:pPr>
                  <w:r>
                    <w:rPr>
                      <w:rFonts w:hint="eastAsia" w:ascii="Times New Roman"/>
                      <w:sz w:val="21"/>
                      <w:szCs w:val="21"/>
                    </w:rPr>
                    <w:t>6.04</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61" w:type="pct"/>
                  <w:tcBorders>
                    <w:top w:val="single" w:color="auto" w:sz="6" w:space="0"/>
                    <w:left w:val="single" w:color="auto" w:sz="4" w:space="0"/>
                    <w:bottom w:val="single" w:color="auto" w:sz="6" w:space="0"/>
                    <w:right w:val="nil"/>
                  </w:tcBorders>
                  <w:noWrap w:val="0"/>
                  <w:vAlign w:val="center"/>
                </w:tcPr>
                <w:p>
                  <w:pPr>
                    <w:widowControl/>
                    <w:jc w:val="center"/>
                    <w:textAlignment w:val="center"/>
                    <w:rPr>
                      <w:rFonts w:ascii="Times New Roman" w:cs="宋体"/>
                      <w:sz w:val="21"/>
                      <w:szCs w:val="21"/>
                    </w:rPr>
                  </w:pPr>
                  <w:r>
                    <w:rPr>
                      <w:rFonts w:hint="eastAsia" w:ascii="Times New Roman"/>
                      <w:sz w:val="21"/>
                      <w:szCs w:val="21"/>
                    </w:rPr>
                    <w:t>6.31</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高度</w:t>
                  </w:r>
                  <w:r>
                    <w:rPr>
                      <w:rFonts w:hint="eastAsia" w:ascii="Times New Roman" w:cs="宋体"/>
                      <w:sz w:val="21"/>
                      <w:szCs w:val="21"/>
                    </w:rPr>
                    <w:t>（m）</w:t>
                  </w:r>
                </w:p>
              </w:tc>
              <w:tc>
                <w:tcPr>
                  <w:tcW w:w="3361" w:type="pct"/>
                  <w:gridSpan w:val="7"/>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内径</w:t>
                  </w:r>
                  <w:r>
                    <w:rPr>
                      <w:rFonts w:hint="eastAsia" w:ascii="Times New Roman" w:cs="宋体"/>
                      <w:sz w:val="21"/>
                      <w:szCs w:val="21"/>
                    </w:rPr>
                    <w:t>（m）</w:t>
                  </w:r>
                </w:p>
              </w:tc>
              <w:tc>
                <w:tcPr>
                  <w:tcW w:w="1680" w:type="pct"/>
                  <w:gridSpan w:val="4"/>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c>
                <w:tcPr>
                  <w:tcW w:w="1681" w:type="pct"/>
                  <w:gridSpan w:val="3"/>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38" w:type="pct"/>
                  <w:gridSpan w:val="2"/>
                  <w:tcBorders>
                    <w:top w:val="single" w:color="auto" w:sz="6" w:space="0"/>
                    <w:left w:val="nil"/>
                    <w:bottom w:val="doub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备注</w:t>
                  </w:r>
                </w:p>
              </w:tc>
              <w:tc>
                <w:tcPr>
                  <w:tcW w:w="3361" w:type="pct"/>
                  <w:gridSpan w:val="7"/>
                  <w:tcBorders>
                    <w:top w:val="single" w:color="auto" w:sz="6" w:space="0"/>
                    <w:left w:val="single" w:color="auto" w:sz="4" w:space="0"/>
                    <w:bottom w:val="doub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处理效率为59.9%</w:t>
                  </w:r>
                </w:p>
              </w:tc>
            </w:tr>
          </w:tbl>
          <w:p>
            <w:pPr>
              <w:pStyle w:val="8"/>
              <w:ind w:left="1239" w:leftChars="563" w:firstLine="697" w:firstLineChars="317"/>
              <w:rPr>
                <w:rFonts w:hint="default" w:ascii="Tahoma" w:hAnsi="Tahoma" w:eastAsia="Times New Roman" w:cs="宋体"/>
                <w:b w:val="0"/>
                <w:w w:val="100"/>
                <w:sz w:val="22"/>
                <w:szCs w:val="22"/>
                <w:shd w:val="clear"/>
              </w:rPr>
            </w:pPr>
            <w:r>
              <w:rPr>
                <w:rFonts w:hint="default" w:ascii="Tahoma" w:hAnsi="Tahoma" w:eastAsia="Times New Roman" w:cs="宋体"/>
                <w:b w:val="0"/>
                <w:w w:val="100"/>
                <w:sz w:val="22"/>
                <w:szCs w:val="22"/>
                <w:shd w:val="clear"/>
              </w:rPr>
              <w:t>表7-2</w:t>
            </w:r>
            <w:r>
              <w:rPr>
                <w:rFonts w:hint="eastAsia" w:ascii="Tahoma" w:hAnsi="Tahoma" w:eastAsia="Times New Roman" w:cs="宋体"/>
                <w:b w:val="0"/>
                <w:w w:val="100"/>
                <w:sz w:val="22"/>
                <w:szCs w:val="22"/>
                <w:shd w:val="clear"/>
                <w:lang w:val="en-US" w:eastAsia="zh-CN"/>
              </w:rPr>
              <w:t>-2有</w:t>
            </w:r>
            <w:r>
              <w:rPr>
                <w:rFonts w:hint="default" w:ascii="Tahoma" w:hAnsi="Tahoma" w:eastAsia="Times New Roman" w:cs="宋体"/>
                <w:b w:val="0"/>
                <w:w w:val="100"/>
                <w:sz w:val="22"/>
                <w:szCs w:val="22"/>
                <w:shd w:val="clear"/>
              </w:rPr>
              <w:t>组织废气检测结果一览表</w:t>
            </w:r>
          </w:p>
          <w:p>
            <w:pPr>
              <w:jc w:val="both"/>
              <w:rPr>
                <w:rFonts w:hint="default"/>
                <w:lang w:val="en-US" w:eastAsia="zh-CN"/>
              </w:rPr>
            </w:pP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95"/>
              <w:gridCol w:w="1060"/>
              <w:gridCol w:w="627"/>
              <w:gridCol w:w="433"/>
              <w:gridCol w:w="1060"/>
              <w:gridCol w:w="1060"/>
              <w:gridCol w:w="1060"/>
              <w:gridCol w:w="1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double" w:color="auto" w:sz="4" w:space="0"/>
                    <w:left w:val="nil"/>
                    <w:bottom w:val="single" w:color="auto" w:sz="4"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检测类别</w:t>
                  </w:r>
                </w:p>
              </w:tc>
              <w:tc>
                <w:tcPr>
                  <w:tcW w:w="919" w:type="pct"/>
                  <w:gridSpan w:val="2"/>
                  <w:tcBorders>
                    <w:top w:val="double" w:color="auto" w:sz="4" w:space="0"/>
                    <w:left w:val="single" w:color="auto" w:sz="4" w:space="0"/>
                    <w:bottom w:val="single" w:color="auto" w:sz="4" w:space="0"/>
                    <w:right w:val="single" w:color="auto" w:sz="6" w:space="0"/>
                  </w:tcBorders>
                  <w:noWrap w:val="0"/>
                  <w:vAlign w:val="center"/>
                </w:tcPr>
                <w:p>
                  <w:pPr>
                    <w:widowControl/>
                    <w:jc w:val="center"/>
                    <w:rPr>
                      <w:rFonts w:ascii="Times New Roman" w:cs="宋体"/>
                      <w:sz w:val="21"/>
                      <w:szCs w:val="21"/>
                    </w:rPr>
                  </w:pPr>
                  <w:r>
                    <w:rPr>
                      <w:rFonts w:hint="eastAsia" w:ascii="Times New Roman" w:cs="宋体"/>
                      <w:sz w:val="21"/>
                      <w:szCs w:val="21"/>
                    </w:rPr>
                    <w:t>有组织废气</w:t>
                  </w:r>
                </w:p>
              </w:tc>
              <w:tc>
                <w:tcPr>
                  <w:tcW w:w="812" w:type="pct"/>
                  <w:gridSpan w:val="2"/>
                  <w:tcBorders>
                    <w:top w:val="double" w:color="auto" w:sz="4" w:space="0"/>
                    <w:left w:val="single" w:color="auto" w:sz="6" w:space="0"/>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采样日期</w:t>
                  </w:r>
                </w:p>
              </w:tc>
              <w:tc>
                <w:tcPr>
                  <w:tcW w:w="1711" w:type="pct"/>
                  <w:gridSpan w:val="3"/>
                  <w:tcBorders>
                    <w:top w:val="double" w:color="auto" w:sz="4" w:space="0"/>
                    <w:left w:val="single" w:color="auto" w:sz="4" w:space="0"/>
                    <w:bottom w:val="single" w:color="auto" w:sz="4" w:space="0"/>
                    <w:right w:val="nil"/>
                  </w:tcBorders>
                  <w:noWrap w:val="0"/>
                  <w:vAlign w:val="center"/>
                </w:tcPr>
                <w:p>
                  <w:pPr>
                    <w:tabs>
                      <w:tab w:val="left" w:pos="9795"/>
                    </w:tabs>
                    <w:jc w:val="center"/>
                    <w:rPr>
                      <w:rFonts w:ascii="Times New Roman" w:cs="宋体"/>
                      <w:sz w:val="21"/>
                      <w:szCs w:val="21"/>
                    </w:rPr>
                  </w:pPr>
                  <w:r>
                    <w:rPr>
                      <w:rFonts w:hint="eastAsia" w:ascii="Times New Roman" w:cs="宋体"/>
                      <w:color w:val="auto"/>
                      <w:sz w:val="21"/>
                      <w:szCs w:val="21"/>
                    </w:rPr>
                    <w:t>2019.11.26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检测地点</w:t>
                  </w:r>
                </w:p>
              </w:tc>
              <w:tc>
                <w:tcPr>
                  <w:tcW w:w="1732" w:type="pct"/>
                  <w:gridSpan w:val="4"/>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酸洗排气筒进口</w:t>
                  </w:r>
                </w:p>
              </w:tc>
              <w:tc>
                <w:tcPr>
                  <w:tcW w:w="1711" w:type="pct"/>
                  <w:gridSpan w:val="3"/>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酸洗排气筒出口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4"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mc:AlternateContent>
                      <mc:Choice Requires="wps">
                        <w:drawing>
                          <wp:anchor distT="0" distB="0" distL="114300" distR="114300" simplePos="0" relativeHeight="251680768" behindDoc="0" locked="0" layoutInCell="1" allowOverlap="1">
                            <wp:simplePos x="0" y="0"/>
                            <wp:positionH relativeFrom="column">
                              <wp:posOffset>-46990</wp:posOffset>
                            </wp:positionH>
                            <wp:positionV relativeFrom="paragraph">
                              <wp:posOffset>-6350</wp:posOffset>
                            </wp:positionV>
                            <wp:extent cx="1911350" cy="422275"/>
                            <wp:effectExtent l="1270" t="4445" r="11430" b="11430"/>
                            <wp:wrapNone/>
                            <wp:docPr id="4" name="直接箭头连接符 4"/>
                            <wp:cNvGraphicFramePr/>
                            <a:graphic xmlns:a="http://schemas.openxmlformats.org/drawingml/2006/main">
                              <a:graphicData uri="http://schemas.microsoft.com/office/word/2010/wordprocessingShape">
                                <wps:wsp>
                                  <wps:cNvCnPr/>
                                  <wps:spPr>
                                    <a:xfrm>
                                      <a:off x="0" y="0"/>
                                      <a:ext cx="1911350" cy="4222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pt;margin-top:-0.5pt;height:33.25pt;width:150.5pt;z-index:251680768;mso-width-relative:page;mso-height-relative:page;" filled="f" stroked="t" coordsize="21600,21600" o:gfxdata="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vMijNgA&#10;AAAIAQAADwAAAAAAAAABACAAAAAiAAAAZHJzL2Rvd25yZXYueG1sUEsBAhQAFAAAAAgAh07iQK6w&#10;xNDmAQAAowMAAA4AAAAAAAAAAQAgAAAAJwEAAGRycy9lMm9Eb2MueG1sUEsFBgAAAAAGAAYAWQEA&#10;AH8FAAAAAA==&#10;">
                            <v:fill on="f" focussize="0,0"/>
                            <v:stroke color="#000000" joinstyle="round"/>
                            <v:imagedata o:title=""/>
                            <o:lock v:ext="edit" aspectratio="f"/>
                          </v:shape>
                        </w:pict>
                      </mc:Fallback>
                    </mc:AlternateContent>
                  </w:r>
                  <w:r>
                    <w:rPr>
                      <w:rFonts w:hint="eastAsia" w:ascii="Times New Roman" w:cs="宋体"/>
                      <w:sz w:val="21"/>
                      <w:szCs w:val="21"/>
                    </w:rPr>
                    <w:t xml:space="preserve">           </w:t>
                  </w:r>
                  <w:r>
                    <w:rPr>
                      <w:rFonts w:ascii="Times New Roman" w:cs="宋体"/>
                      <w:sz w:val="21"/>
                      <w:szCs w:val="21"/>
                    </w:rPr>
                    <w:t xml:space="preserve">   </w:t>
                  </w:r>
                  <w:r>
                    <w:rPr>
                      <w:rFonts w:hint="eastAsia" w:ascii="Times New Roman" w:cs="宋体"/>
                      <w:sz w:val="21"/>
                      <w:szCs w:val="21"/>
                    </w:rPr>
                    <w:t xml:space="preserve"> 检测频次</w:t>
                  </w:r>
                </w:p>
                <w:p>
                  <w:pPr>
                    <w:widowControl/>
                    <w:ind w:firstLine="315" w:firstLineChars="150"/>
                    <w:rPr>
                      <w:rFonts w:ascii="Times New Roman" w:cs="宋体"/>
                      <w:sz w:val="21"/>
                      <w:szCs w:val="21"/>
                    </w:rPr>
                  </w:pPr>
                  <w:r>
                    <w:rPr>
                      <w:rFonts w:hint="eastAsia" w:ascii="Times New Roman" w:cs="宋体"/>
                      <w:sz w:val="21"/>
                      <w:szCs w:val="21"/>
                    </w:rPr>
                    <w:t>检测项目</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90" w:type="pct"/>
                  <w:gridSpan w:val="2"/>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标干流量（Nm</w:t>
                  </w:r>
                  <w:r>
                    <w:rPr>
                      <w:rFonts w:hint="eastAsia" w:ascii="Times New Roman" w:cs="宋体"/>
                      <w:sz w:val="21"/>
                      <w:szCs w:val="21"/>
                      <w:vertAlign w:val="superscript"/>
                    </w:rPr>
                    <w:t>3</w:t>
                  </w:r>
                  <w:r>
                    <w:rPr>
                      <w:rFonts w:hint="eastAsia" w:ascii="Times New Roman" w:cs="宋体"/>
                      <w:sz w:val="21"/>
                      <w:szCs w:val="21"/>
                    </w:rPr>
                    <w:t>/h）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2856</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3001</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3124</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2421</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2306</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85" w:type="pct"/>
                  <w:vMerge w:val="restart"/>
                  <w:tcBorders>
                    <w:top w:val="single" w:color="auto" w:sz="6" w:space="0"/>
                    <w:left w:val="nil"/>
                    <w:bottom w:val="single" w:color="auto" w:sz="6" w:space="0"/>
                    <w:right w:val="single" w:color="auto" w:sz="6" w:space="0"/>
                  </w:tcBorders>
                  <w:noWrap w:val="0"/>
                  <w:vAlign w:val="center"/>
                </w:tcPr>
                <w:p>
                  <w:pPr>
                    <w:spacing w:line="312" w:lineRule="auto"/>
                    <w:jc w:val="center"/>
                    <w:rPr>
                      <w:rFonts w:hint="eastAsia" w:ascii="Times New Roman" w:cs="宋体"/>
                      <w:sz w:val="21"/>
                      <w:szCs w:val="21"/>
                    </w:rPr>
                  </w:pPr>
                  <w:r>
                    <w:rPr>
                      <w:rFonts w:hint="eastAsia" w:ascii="Times New Roman"/>
                      <w:sz w:val="21"/>
                      <w:szCs w:val="21"/>
                    </w:rPr>
                    <w:t>硫酸雾</w:t>
                  </w: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实测浓度（mg/m</w:t>
                  </w:r>
                  <w:r>
                    <w:rPr>
                      <w:rFonts w:hint="eastAsia" w:ascii="Times New Roman" w:cs="宋体"/>
                      <w:sz w:val="21"/>
                      <w:szCs w:val="21"/>
                      <w:vertAlign w:val="superscript"/>
                    </w:rPr>
                    <w:t>3</w:t>
                  </w:r>
                  <w:r>
                    <w:rPr>
                      <w:rFonts w:hint="eastAsia" w:ascii="Times New Roman" w:cs="宋体"/>
                      <w:sz w:val="21"/>
                      <w:szCs w:val="21"/>
                    </w:rPr>
                    <w:t>）</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4.91</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5.12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5.06</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2.45</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2.19</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85" w:type="pct"/>
                  <w:vMerge w:val="continue"/>
                  <w:tcBorders>
                    <w:top w:val="single" w:color="auto" w:sz="6" w:space="0"/>
                    <w:left w:val="nil"/>
                    <w:bottom w:val="single" w:color="auto" w:sz="6" w:space="0"/>
                    <w:right w:val="single" w:color="auto" w:sz="6" w:space="0"/>
                  </w:tcBorders>
                  <w:noWrap w:val="0"/>
                  <w:vAlign w:val="center"/>
                </w:tcPr>
                <w:p>
                  <w:pPr>
                    <w:widowControl/>
                    <w:jc w:val="center"/>
                    <w:rPr>
                      <w:rFonts w:ascii="Times New Roman" w:cs="宋体"/>
                      <w:sz w:val="21"/>
                      <w:szCs w:val="21"/>
                    </w:rPr>
                  </w:pP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排放速率（kg/h）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1.40</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1.54</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sz w:val="21"/>
                      <w:szCs w:val="21"/>
                    </w:rPr>
                  </w:pPr>
                  <w:r>
                    <w:rPr>
                      <w:rFonts w:hint="eastAsia" w:ascii="Times New Roman"/>
                      <w:sz w:val="21"/>
                      <w:szCs w:val="21"/>
                    </w:rPr>
                    <w:t>1.58</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5.93</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5.05</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6.33</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高度</w:t>
                  </w:r>
                  <w:r>
                    <w:rPr>
                      <w:rFonts w:hint="eastAsia" w:ascii="Times New Roman" w:cs="宋体"/>
                      <w:sz w:val="21"/>
                      <w:szCs w:val="21"/>
                    </w:rPr>
                    <w:t>（m）</w:t>
                  </w:r>
                </w:p>
              </w:tc>
              <w:tc>
                <w:tcPr>
                  <w:tcW w:w="3443" w:type="pct"/>
                  <w:gridSpan w:val="7"/>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内径</w:t>
                  </w:r>
                  <w:r>
                    <w:rPr>
                      <w:rFonts w:hint="eastAsia" w:ascii="Times New Roman" w:cs="宋体"/>
                      <w:sz w:val="21"/>
                      <w:szCs w:val="21"/>
                    </w:rPr>
                    <w:t>（m）</w:t>
                  </w:r>
                </w:p>
              </w:tc>
              <w:tc>
                <w:tcPr>
                  <w:tcW w:w="1732" w:type="pct"/>
                  <w:gridSpan w:val="4"/>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c>
                <w:tcPr>
                  <w:tcW w:w="1711" w:type="pct"/>
                  <w:gridSpan w:val="3"/>
                  <w:tcBorders>
                    <w:top w:val="single" w:color="auto" w:sz="6" w:space="0"/>
                    <w:left w:val="single" w:color="auto" w:sz="4" w:space="0"/>
                    <w:bottom w:val="single" w:color="auto" w:sz="4" w:space="0"/>
                    <w:right w:val="nil"/>
                  </w:tcBorders>
                  <w:noWrap w:val="0"/>
                  <w:vAlign w:val="center"/>
                </w:tcPr>
                <w:p>
                  <w:pPr>
                    <w:widowControl/>
                    <w:jc w:val="center"/>
                  </w:pPr>
                  <w:r>
                    <w:rPr>
                      <w:rFonts w:hint="eastAsia" w:ascii="Times New Roman" w:cs="宋体"/>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doub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备注</w:t>
                  </w:r>
                </w:p>
              </w:tc>
              <w:tc>
                <w:tcPr>
                  <w:tcW w:w="3443" w:type="pct"/>
                  <w:gridSpan w:val="7"/>
                  <w:tcBorders>
                    <w:top w:val="single" w:color="auto" w:sz="6" w:space="0"/>
                    <w:left w:val="single" w:color="auto" w:sz="4" w:space="0"/>
                    <w:bottom w:val="double" w:color="auto" w:sz="4" w:space="0"/>
                    <w:right w:val="nil"/>
                  </w:tcBorders>
                  <w:noWrap w:val="0"/>
                  <w:vAlign w:val="center"/>
                </w:tcPr>
                <w:p>
                  <w:pPr>
                    <w:widowControl/>
                    <w:jc w:val="center"/>
                    <w:rPr>
                      <w:rFonts w:hint="eastAsia" w:ascii="Times New Roman" w:cs="宋体"/>
                      <w:sz w:val="21"/>
                      <w:szCs w:val="21"/>
                    </w:rPr>
                  </w:pPr>
                  <w:r>
                    <w:rPr>
                      <w:rFonts w:hint="eastAsia" w:ascii="Times New Roman" w:cs="宋体"/>
                      <w:sz w:val="21"/>
                      <w:szCs w:val="21"/>
                    </w:rPr>
                    <w:t>处理效率为61.6%</w:t>
                  </w:r>
                </w:p>
              </w:tc>
            </w:tr>
          </w:tbl>
          <w:p>
            <w:pPr>
              <w:pStyle w:val="8"/>
              <w:rPr>
                <w:rFonts w:hint="default"/>
                <w:lang w:val="en-US" w:eastAsia="zh-CN"/>
              </w:rPr>
            </w:pPr>
          </w:p>
          <w:p>
            <w:pPr>
              <w:pStyle w:val="8"/>
              <w:ind w:left="1239" w:leftChars="563" w:firstLine="697" w:firstLineChars="317"/>
              <w:rPr>
                <w:rFonts w:hint="default" w:ascii="Tahoma" w:hAnsi="Tahoma" w:eastAsia="Times New Roman" w:cs="宋体"/>
                <w:b w:val="0"/>
                <w:w w:val="100"/>
                <w:sz w:val="22"/>
                <w:szCs w:val="22"/>
                <w:shd w:val="clear"/>
              </w:rPr>
            </w:pPr>
            <w:r>
              <w:rPr>
                <w:rFonts w:hint="default" w:ascii="Tahoma" w:hAnsi="Tahoma" w:eastAsia="Times New Roman" w:cs="宋体"/>
                <w:b w:val="0"/>
                <w:w w:val="100"/>
                <w:sz w:val="22"/>
                <w:szCs w:val="22"/>
                <w:shd w:val="clear"/>
              </w:rPr>
              <w:t>表7-2</w:t>
            </w:r>
            <w:r>
              <w:rPr>
                <w:rFonts w:hint="eastAsia" w:ascii="Tahoma" w:hAnsi="Tahoma" w:eastAsia="Times New Roman" w:cs="宋体"/>
                <w:b w:val="0"/>
                <w:w w:val="100"/>
                <w:sz w:val="22"/>
                <w:szCs w:val="22"/>
                <w:shd w:val="clear"/>
                <w:lang w:val="en-US" w:eastAsia="zh-CN"/>
              </w:rPr>
              <w:t>-2有</w:t>
            </w:r>
            <w:r>
              <w:rPr>
                <w:rFonts w:hint="default" w:ascii="Tahoma" w:hAnsi="Tahoma" w:eastAsia="Times New Roman" w:cs="宋体"/>
                <w:b w:val="0"/>
                <w:w w:val="100"/>
                <w:sz w:val="22"/>
                <w:szCs w:val="22"/>
                <w:shd w:val="clear"/>
              </w:rPr>
              <w:t>组织废气检测结果一览表</w:t>
            </w:r>
          </w:p>
          <w:p>
            <w:pPr>
              <w:pageBreakBefore w:val="0"/>
              <w:numPr>
                <w:ilvl w:val="0"/>
                <w:numId w:val="0"/>
              </w:numPr>
              <w:autoSpaceDE/>
              <w:autoSpaceDN/>
              <w:bidi w:val="0"/>
              <w:snapToGrid/>
              <w:spacing w:before="0" w:after="0" w:line="360" w:lineRule="auto"/>
              <w:ind w:right="0" w:firstLine="0"/>
              <w:jc w:val="center"/>
              <w:rPr>
                <w:rFonts w:hint="default"/>
                <w:lang w:val="en-US" w:eastAsia="zh-CN"/>
              </w:rPr>
            </w:pPr>
          </w:p>
          <w:tbl>
            <w:tblPr>
              <w:tblStyle w:val="33"/>
              <w:tblpPr w:leftFromText="180" w:rightFromText="180" w:vertAnchor="text" w:horzAnchor="page" w:tblpX="1375" w:tblpY="481"/>
              <w:tblOverlap w:val="never"/>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95"/>
              <w:gridCol w:w="1060"/>
              <w:gridCol w:w="627"/>
              <w:gridCol w:w="433"/>
              <w:gridCol w:w="1060"/>
              <w:gridCol w:w="1060"/>
              <w:gridCol w:w="1060"/>
              <w:gridCol w:w="1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double" w:color="auto" w:sz="4" w:space="0"/>
                    <w:left w:val="nil"/>
                    <w:bottom w:val="single" w:color="auto" w:sz="4"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检测类别</w:t>
                  </w:r>
                </w:p>
              </w:tc>
              <w:tc>
                <w:tcPr>
                  <w:tcW w:w="919" w:type="pct"/>
                  <w:gridSpan w:val="2"/>
                  <w:tcBorders>
                    <w:top w:val="double" w:color="auto" w:sz="4" w:space="0"/>
                    <w:left w:val="single" w:color="auto" w:sz="4" w:space="0"/>
                    <w:bottom w:val="single" w:color="auto" w:sz="4" w:space="0"/>
                    <w:right w:val="single" w:color="auto" w:sz="6" w:space="0"/>
                  </w:tcBorders>
                  <w:noWrap w:val="0"/>
                  <w:vAlign w:val="center"/>
                </w:tcPr>
                <w:p>
                  <w:pPr>
                    <w:widowControl/>
                    <w:jc w:val="center"/>
                    <w:rPr>
                      <w:rFonts w:ascii="Times New Roman" w:cs="宋体"/>
                      <w:sz w:val="21"/>
                      <w:szCs w:val="21"/>
                    </w:rPr>
                  </w:pPr>
                  <w:r>
                    <w:rPr>
                      <w:rFonts w:hint="eastAsia" w:ascii="Times New Roman" w:cs="宋体"/>
                      <w:sz w:val="21"/>
                      <w:szCs w:val="21"/>
                    </w:rPr>
                    <w:t>有组织废气</w:t>
                  </w:r>
                </w:p>
              </w:tc>
              <w:tc>
                <w:tcPr>
                  <w:tcW w:w="812" w:type="pct"/>
                  <w:gridSpan w:val="2"/>
                  <w:tcBorders>
                    <w:top w:val="double" w:color="auto" w:sz="4" w:space="0"/>
                    <w:left w:val="single" w:color="auto" w:sz="6" w:space="0"/>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采样日期</w:t>
                  </w:r>
                </w:p>
              </w:tc>
              <w:tc>
                <w:tcPr>
                  <w:tcW w:w="1711" w:type="pct"/>
                  <w:gridSpan w:val="3"/>
                  <w:tcBorders>
                    <w:top w:val="double" w:color="auto" w:sz="4" w:space="0"/>
                    <w:left w:val="single" w:color="auto" w:sz="4" w:space="0"/>
                    <w:bottom w:val="single" w:color="auto" w:sz="4" w:space="0"/>
                    <w:right w:val="nil"/>
                  </w:tcBorders>
                  <w:noWrap w:val="0"/>
                  <w:vAlign w:val="center"/>
                </w:tcPr>
                <w:p>
                  <w:pPr>
                    <w:tabs>
                      <w:tab w:val="left" w:pos="9795"/>
                    </w:tabs>
                    <w:jc w:val="center"/>
                    <w:rPr>
                      <w:rFonts w:ascii="Times New Roman" w:cs="宋体"/>
                      <w:sz w:val="21"/>
                      <w:szCs w:val="21"/>
                    </w:rPr>
                  </w:pPr>
                  <w:r>
                    <w:rPr>
                      <w:rFonts w:hint="eastAsia" w:ascii="Times New Roman" w:cs="宋体"/>
                      <w:color w:val="auto"/>
                      <w:sz w:val="21"/>
                      <w:szCs w:val="21"/>
                    </w:rPr>
                    <w:t>2019.11.26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检测地点</w:t>
                  </w:r>
                </w:p>
              </w:tc>
              <w:tc>
                <w:tcPr>
                  <w:tcW w:w="1732" w:type="pct"/>
                  <w:gridSpan w:val="4"/>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酸洗排气筒进口</w:t>
                  </w:r>
                </w:p>
              </w:tc>
              <w:tc>
                <w:tcPr>
                  <w:tcW w:w="1711" w:type="pct"/>
                  <w:gridSpan w:val="3"/>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酸洗排气筒出口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single" w:color="auto" w:sz="4"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mc:AlternateContent>
                      <mc:Choice Requires="wps">
                        <w:drawing>
                          <wp:anchor distT="0" distB="0" distL="114300" distR="114300" simplePos="0" relativeHeight="251707392" behindDoc="0" locked="0" layoutInCell="1" allowOverlap="1">
                            <wp:simplePos x="0" y="0"/>
                            <wp:positionH relativeFrom="column">
                              <wp:posOffset>-46990</wp:posOffset>
                            </wp:positionH>
                            <wp:positionV relativeFrom="paragraph">
                              <wp:posOffset>-6350</wp:posOffset>
                            </wp:positionV>
                            <wp:extent cx="1911350" cy="422275"/>
                            <wp:effectExtent l="1270" t="4445" r="11430" b="11430"/>
                            <wp:wrapNone/>
                            <wp:docPr id="6" name="直接箭头连接符 6"/>
                            <wp:cNvGraphicFramePr/>
                            <a:graphic xmlns:a="http://schemas.openxmlformats.org/drawingml/2006/main">
                              <a:graphicData uri="http://schemas.microsoft.com/office/word/2010/wordprocessingShape">
                                <wps:wsp>
                                  <wps:cNvCnPr/>
                                  <wps:spPr>
                                    <a:xfrm>
                                      <a:off x="0" y="0"/>
                                      <a:ext cx="1911350" cy="4222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pt;margin-top:-0.5pt;height:33.25pt;width:150.5pt;z-index:251707392;mso-width-relative:page;mso-height-relative:page;" filled="f" stroked="t" coordsize="21600,21600" o:gfxdata="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vMijNgA&#10;AAAIAQAADwAAAAAAAAABACAAAAAiAAAAZHJzL2Rvd25yZXYueG1sUEsBAhQAFAAAAAgAh07iQGmq&#10;W9rmAQAAowMAAA4AAAAAAAAAAQAgAAAAJwEAAGRycy9lMm9Eb2MueG1sUEsFBgAAAAAGAAYAWQEA&#10;AH8FAAAAAA==&#10;">
                            <v:fill on="f" focussize="0,0"/>
                            <v:stroke color="#000000" joinstyle="round"/>
                            <v:imagedata o:title=""/>
                            <o:lock v:ext="edit" aspectratio="f"/>
                          </v:shape>
                        </w:pict>
                      </mc:Fallback>
                    </mc:AlternateContent>
                  </w:r>
                  <w:r>
                    <w:rPr>
                      <w:rFonts w:hint="eastAsia" w:ascii="Times New Roman" w:cs="宋体"/>
                      <w:sz w:val="21"/>
                      <w:szCs w:val="21"/>
                    </w:rPr>
                    <w:t xml:space="preserve">           </w:t>
                  </w:r>
                  <w:r>
                    <w:rPr>
                      <w:rFonts w:ascii="Times New Roman" w:cs="宋体"/>
                      <w:sz w:val="21"/>
                      <w:szCs w:val="21"/>
                    </w:rPr>
                    <w:t xml:space="preserve">   </w:t>
                  </w:r>
                  <w:r>
                    <w:rPr>
                      <w:rFonts w:hint="eastAsia" w:ascii="Times New Roman" w:cs="宋体"/>
                      <w:sz w:val="21"/>
                      <w:szCs w:val="21"/>
                    </w:rPr>
                    <w:t xml:space="preserve"> 检测频次</w:t>
                  </w:r>
                </w:p>
                <w:p>
                  <w:pPr>
                    <w:widowControl/>
                    <w:ind w:firstLine="315" w:firstLineChars="150"/>
                    <w:rPr>
                      <w:rFonts w:ascii="Times New Roman" w:cs="宋体"/>
                      <w:sz w:val="21"/>
                      <w:szCs w:val="21"/>
                    </w:rPr>
                  </w:pPr>
                  <w:r>
                    <w:rPr>
                      <w:rFonts w:hint="eastAsia" w:ascii="Times New Roman" w:cs="宋体"/>
                      <w:sz w:val="21"/>
                      <w:szCs w:val="21"/>
                    </w:rPr>
                    <w:t>检测项目</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90" w:type="pct"/>
                  <w:gridSpan w:val="2"/>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标干流量（Nm</w:t>
                  </w:r>
                  <w:r>
                    <w:rPr>
                      <w:rFonts w:hint="eastAsia" w:ascii="Times New Roman" w:cs="宋体"/>
                      <w:sz w:val="21"/>
                      <w:szCs w:val="21"/>
                      <w:vertAlign w:val="superscript"/>
                    </w:rPr>
                    <w:t>3</w:t>
                  </w:r>
                  <w:r>
                    <w:rPr>
                      <w:rFonts w:hint="eastAsia" w:ascii="Times New Roman" w:cs="宋体"/>
                      <w:sz w:val="21"/>
                      <w:szCs w:val="21"/>
                    </w:rPr>
                    <w:t>/h）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2856</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3001</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3124</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2421</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2306</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85" w:type="pct"/>
                  <w:vMerge w:val="restart"/>
                  <w:tcBorders>
                    <w:top w:val="single" w:color="auto" w:sz="6" w:space="0"/>
                    <w:left w:val="nil"/>
                    <w:bottom w:val="single" w:color="auto" w:sz="6" w:space="0"/>
                    <w:right w:val="single" w:color="auto" w:sz="6" w:space="0"/>
                  </w:tcBorders>
                  <w:noWrap w:val="0"/>
                  <w:vAlign w:val="center"/>
                </w:tcPr>
                <w:p>
                  <w:pPr>
                    <w:spacing w:line="312" w:lineRule="auto"/>
                    <w:jc w:val="center"/>
                    <w:rPr>
                      <w:rFonts w:hint="eastAsia" w:ascii="Times New Roman" w:cs="宋体"/>
                      <w:sz w:val="21"/>
                      <w:szCs w:val="21"/>
                    </w:rPr>
                  </w:pPr>
                  <w:r>
                    <w:rPr>
                      <w:rFonts w:hint="eastAsia" w:ascii="Times New Roman"/>
                      <w:sz w:val="21"/>
                      <w:szCs w:val="21"/>
                    </w:rPr>
                    <w:t>硫酸雾</w:t>
                  </w: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实测浓度（mg/m</w:t>
                  </w:r>
                  <w:r>
                    <w:rPr>
                      <w:rFonts w:hint="eastAsia" w:ascii="Times New Roman" w:cs="宋体"/>
                      <w:sz w:val="21"/>
                      <w:szCs w:val="21"/>
                      <w:vertAlign w:val="superscript"/>
                    </w:rPr>
                    <w:t>3</w:t>
                  </w:r>
                  <w:r>
                    <w:rPr>
                      <w:rFonts w:hint="eastAsia" w:ascii="Times New Roman" w:cs="宋体"/>
                      <w:sz w:val="21"/>
                      <w:szCs w:val="21"/>
                    </w:rPr>
                    <w:t>）</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4.91</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5.12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5.06</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2.45</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2.19</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85" w:type="pct"/>
                  <w:vMerge w:val="continue"/>
                  <w:tcBorders>
                    <w:top w:val="single" w:color="auto" w:sz="6" w:space="0"/>
                    <w:left w:val="nil"/>
                    <w:bottom w:val="single" w:color="auto" w:sz="6" w:space="0"/>
                    <w:right w:val="single" w:color="auto" w:sz="6" w:space="0"/>
                  </w:tcBorders>
                  <w:noWrap w:val="0"/>
                  <w:vAlign w:val="center"/>
                </w:tcPr>
                <w:p>
                  <w:pPr>
                    <w:widowControl/>
                    <w:jc w:val="center"/>
                    <w:rPr>
                      <w:rFonts w:ascii="Times New Roman" w:cs="宋体"/>
                      <w:sz w:val="21"/>
                      <w:szCs w:val="21"/>
                    </w:rPr>
                  </w:pP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排放速率（kg/h）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1.40</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1.54</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sz w:val="21"/>
                      <w:szCs w:val="21"/>
                    </w:rPr>
                  </w:pPr>
                  <w:r>
                    <w:rPr>
                      <w:rFonts w:hint="eastAsia" w:ascii="Times New Roman"/>
                      <w:sz w:val="21"/>
                      <w:szCs w:val="21"/>
                    </w:rPr>
                    <w:t>1.58</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5.93</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5.05</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6.33</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高度</w:t>
                  </w:r>
                  <w:r>
                    <w:rPr>
                      <w:rFonts w:hint="eastAsia" w:ascii="Times New Roman" w:cs="宋体"/>
                      <w:sz w:val="21"/>
                      <w:szCs w:val="21"/>
                    </w:rPr>
                    <w:t>（m）</w:t>
                  </w:r>
                </w:p>
              </w:tc>
              <w:tc>
                <w:tcPr>
                  <w:tcW w:w="3443" w:type="pct"/>
                  <w:gridSpan w:val="7"/>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内径</w:t>
                  </w:r>
                  <w:r>
                    <w:rPr>
                      <w:rFonts w:hint="eastAsia" w:ascii="Times New Roman" w:cs="宋体"/>
                      <w:sz w:val="21"/>
                      <w:szCs w:val="21"/>
                    </w:rPr>
                    <w:t>（m）</w:t>
                  </w:r>
                </w:p>
              </w:tc>
              <w:tc>
                <w:tcPr>
                  <w:tcW w:w="1732" w:type="pct"/>
                  <w:gridSpan w:val="4"/>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c>
                <w:tcPr>
                  <w:tcW w:w="1711" w:type="pct"/>
                  <w:gridSpan w:val="3"/>
                  <w:tcBorders>
                    <w:top w:val="single" w:color="auto" w:sz="6" w:space="0"/>
                    <w:left w:val="single" w:color="auto" w:sz="4" w:space="0"/>
                    <w:bottom w:val="single" w:color="auto" w:sz="4" w:space="0"/>
                    <w:right w:val="nil"/>
                  </w:tcBorders>
                  <w:noWrap w:val="0"/>
                  <w:vAlign w:val="center"/>
                </w:tcPr>
                <w:p>
                  <w:pPr>
                    <w:widowControl/>
                    <w:jc w:val="center"/>
                  </w:pPr>
                  <w:r>
                    <w:rPr>
                      <w:rFonts w:hint="eastAsia" w:ascii="Times New Roman" w:cs="宋体"/>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56" w:type="pct"/>
                  <w:gridSpan w:val="2"/>
                  <w:tcBorders>
                    <w:top w:val="single" w:color="auto" w:sz="6" w:space="0"/>
                    <w:left w:val="nil"/>
                    <w:bottom w:val="doub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备注</w:t>
                  </w:r>
                </w:p>
              </w:tc>
              <w:tc>
                <w:tcPr>
                  <w:tcW w:w="3443" w:type="pct"/>
                  <w:gridSpan w:val="7"/>
                  <w:tcBorders>
                    <w:top w:val="single" w:color="auto" w:sz="6" w:space="0"/>
                    <w:left w:val="single" w:color="auto" w:sz="4" w:space="0"/>
                    <w:bottom w:val="double" w:color="auto" w:sz="4" w:space="0"/>
                    <w:right w:val="nil"/>
                  </w:tcBorders>
                  <w:noWrap w:val="0"/>
                  <w:vAlign w:val="center"/>
                </w:tcPr>
                <w:p>
                  <w:pPr>
                    <w:widowControl/>
                    <w:jc w:val="center"/>
                    <w:rPr>
                      <w:rFonts w:hint="eastAsia" w:ascii="Times New Roman" w:cs="宋体"/>
                      <w:sz w:val="21"/>
                      <w:szCs w:val="21"/>
                    </w:rPr>
                  </w:pPr>
                  <w:r>
                    <w:rPr>
                      <w:rFonts w:hint="eastAsia" w:ascii="Times New Roman" w:cs="宋体"/>
                      <w:sz w:val="21"/>
                      <w:szCs w:val="21"/>
                    </w:rPr>
                    <w:t>处理效率为61.6%</w:t>
                  </w:r>
                </w:p>
              </w:tc>
            </w:tr>
          </w:tbl>
          <w:p>
            <w:pPr>
              <w:pageBreakBefore w:val="0"/>
              <w:numPr>
                <w:ilvl w:val="0"/>
                <w:numId w:val="0"/>
              </w:numPr>
              <w:autoSpaceDE/>
              <w:autoSpaceDN/>
              <w:bidi w:val="0"/>
              <w:snapToGrid/>
              <w:spacing w:before="0" w:after="0" w:line="360" w:lineRule="auto"/>
              <w:ind w:right="0" w:firstLine="0"/>
              <w:jc w:val="center"/>
              <w:rPr>
                <w:rFonts w:hint="default"/>
                <w:lang w:val="en-US" w:eastAsia="zh-CN"/>
              </w:rPr>
            </w:pPr>
          </w:p>
          <w:p>
            <w:pPr>
              <w:pStyle w:val="8"/>
              <w:rPr>
                <w:rFonts w:hint="default"/>
              </w:rPr>
            </w:pPr>
          </w:p>
          <w:p>
            <w:pPr>
              <w:pStyle w:val="8"/>
              <w:ind w:left="1239" w:leftChars="563" w:firstLine="697" w:firstLineChars="317"/>
              <w:rPr>
                <w:rFonts w:hint="default" w:ascii="Tahoma" w:hAnsi="Tahoma" w:eastAsia="Times New Roman" w:cs="宋体"/>
                <w:b w:val="0"/>
                <w:w w:val="100"/>
                <w:sz w:val="22"/>
                <w:szCs w:val="22"/>
                <w:shd w:val="clear"/>
              </w:rPr>
            </w:pPr>
            <w:r>
              <w:rPr>
                <w:rFonts w:hint="default" w:ascii="Tahoma" w:hAnsi="Tahoma" w:eastAsia="Times New Roman" w:cs="宋体"/>
                <w:b w:val="0"/>
                <w:w w:val="100"/>
                <w:sz w:val="22"/>
                <w:szCs w:val="22"/>
                <w:shd w:val="clear"/>
              </w:rPr>
              <w:t>表7-</w:t>
            </w:r>
            <w:r>
              <w:rPr>
                <w:rFonts w:hint="eastAsia" w:ascii="Tahoma" w:hAnsi="Tahoma" w:eastAsia="宋体" w:cs="宋体"/>
                <w:b w:val="0"/>
                <w:w w:val="100"/>
                <w:sz w:val="22"/>
                <w:szCs w:val="22"/>
                <w:shd w:val="clear"/>
                <w:lang w:val="en-US" w:eastAsia="zh-CN"/>
              </w:rPr>
              <w:t>3</w:t>
            </w:r>
            <w:r>
              <w:rPr>
                <w:rFonts w:hint="eastAsia" w:ascii="Tahoma" w:hAnsi="Tahoma" w:eastAsia="Times New Roman" w:cs="宋体"/>
                <w:b w:val="0"/>
                <w:w w:val="100"/>
                <w:sz w:val="22"/>
                <w:szCs w:val="22"/>
                <w:shd w:val="clear"/>
                <w:lang w:val="en-US" w:eastAsia="zh-CN"/>
              </w:rPr>
              <w:t>-</w:t>
            </w:r>
            <w:r>
              <w:rPr>
                <w:rFonts w:hint="eastAsia" w:ascii="Tahoma" w:hAnsi="Tahoma" w:cs="宋体"/>
                <w:b w:val="0"/>
                <w:w w:val="100"/>
                <w:sz w:val="22"/>
                <w:szCs w:val="22"/>
                <w:shd w:val="clear"/>
                <w:lang w:val="en-US" w:eastAsia="zh-CN"/>
              </w:rPr>
              <w:t>1</w:t>
            </w:r>
            <w:r>
              <w:rPr>
                <w:rFonts w:hint="eastAsia" w:ascii="Tahoma" w:hAnsi="Tahoma" w:eastAsia="Times New Roman" w:cs="宋体"/>
                <w:b w:val="0"/>
                <w:w w:val="100"/>
                <w:sz w:val="22"/>
                <w:szCs w:val="22"/>
                <w:shd w:val="clear"/>
                <w:lang w:val="en-US" w:eastAsia="zh-CN"/>
              </w:rPr>
              <w:t>有</w:t>
            </w:r>
            <w:r>
              <w:rPr>
                <w:rFonts w:hint="default" w:ascii="Tahoma" w:hAnsi="Tahoma" w:eastAsia="Times New Roman" w:cs="宋体"/>
                <w:b w:val="0"/>
                <w:w w:val="100"/>
                <w:sz w:val="22"/>
                <w:szCs w:val="22"/>
                <w:shd w:val="clear"/>
              </w:rPr>
              <w:t>组织废气检测结果一览表</w:t>
            </w:r>
          </w:p>
          <w:p>
            <w:pPr>
              <w:pStyle w:val="8"/>
              <w:rPr>
                <w:rFonts w:hint="default"/>
                <w:lang w:val="en-US" w:eastAsia="zh-CN"/>
              </w:rPr>
            </w:pP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95"/>
              <w:gridCol w:w="1060"/>
              <w:gridCol w:w="627"/>
              <w:gridCol w:w="433"/>
              <w:gridCol w:w="1060"/>
              <w:gridCol w:w="1060"/>
              <w:gridCol w:w="1060"/>
              <w:gridCol w:w="1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double" w:color="auto" w:sz="4" w:space="0"/>
                    <w:left w:val="nil"/>
                    <w:bottom w:val="single" w:color="auto" w:sz="4"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检测类别</w:t>
                  </w:r>
                </w:p>
              </w:tc>
              <w:tc>
                <w:tcPr>
                  <w:tcW w:w="919" w:type="pct"/>
                  <w:gridSpan w:val="2"/>
                  <w:tcBorders>
                    <w:top w:val="double" w:color="auto" w:sz="4" w:space="0"/>
                    <w:left w:val="single" w:color="auto" w:sz="4" w:space="0"/>
                    <w:bottom w:val="single" w:color="auto" w:sz="4" w:space="0"/>
                    <w:right w:val="single" w:color="auto" w:sz="6" w:space="0"/>
                  </w:tcBorders>
                  <w:noWrap w:val="0"/>
                  <w:vAlign w:val="center"/>
                </w:tcPr>
                <w:p>
                  <w:pPr>
                    <w:widowControl/>
                    <w:jc w:val="center"/>
                    <w:rPr>
                      <w:rFonts w:ascii="Times New Roman" w:cs="宋体"/>
                      <w:sz w:val="21"/>
                      <w:szCs w:val="21"/>
                    </w:rPr>
                  </w:pPr>
                  <w:r>
                    <w:rPr>
                      <w:rFonts w:hint="eastAsia" w:ascii="Times New Roman" w:cs="宋体"/>
                      <w:sz w:val="21"/>
                      <w:szCs w:val="21"/>
                    </w:rPr>
                    <w:t>有组织废气</w:t>
                  </w:r>
                </w:p>
              </w:tc>
              <w:tc>
                <w:tcPr>
                  <w:tcW w:w="812" w:type="pct"/>
                  <w:gridSpan w:val="2"/>
                  <w:tcBorders>
                    <w:top w:val="double" w:color="auto" w:sz="4" w:space="0"/>
                    <w:left w:val="single" w:color="auto" w:sz="6" w:space="0"/>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采样日期</w:t>
                  </w:r>
                </w:p>
              </w:tc>
              <w:tc>
                <w:tcPr>
                  <w:tcW w:w="1711" w:type="pct"/>
                  <w:gridSpan w:val="3"/>
                  <w:tcBorders>
                    <w:top w:val="double" w:color="auto" w:sz="4" w:space="0"/>
                    <w:left w:val="single" w:color="auto" w:sz="4" w:space="0"/>
                    <w:bottom w:val="single" w:color="auto" w:sz="4"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color w:val="auto"/>
                      <w:sz w:val="21"/>
                      <w:szCs w:val="21"/>
                    </w:rPr>
                    <w:t>2019.11.25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检测地点</w:t>
                  </w:r>
                </w:p>
              </w:tc>
              <w:tc>
                <w:tcPr>
                  <w:tcW w:w="1732" w:type="pct"/>
                  <w:gridSpan w:val="4"/>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漂洗排气筒进口</w:t>
                  </w:r>
                </w:p>
              </w:tc>
              <w:tc>
                <w:tcPr>
                  <w:tcW w:w="1711" w:type="pct"/>
                  <w:gridSpan w:val="3"/>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漂洗排气筒出口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4"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mc:AlternateContent>
                      <mc:Choice Requires="wps">
                        <w:drawing>
                          <wp:anchor distT="0" distB="0" distL="114300" distR="114300" simplePos="0" relativeHeight="251720704" behindDoc="0" locked="0" layoutInCell="1" allowOverlap="1">
                            <wp:simplePos x="0" y="0"/>
                            <wp:positionH relativeFrom="column">
                              <wp:posOffset>-46990</wp:posOffset>
                            </wp:positionH>
                            <wp:positionV relativeFrom="paragraph">
                              <wp:posOffset>-6350</wp:posOffset>
                            </wp:positionV>
                            <wp:extent cx="1911350" cy="422275"/>
                            <wp:effectExtent l="1270" t="4445" r="11430" b="11430"/>
                            <wp:wrapNone/>
                            <wp:docPr id="7" name="直接箭头连接符 7"/>
                            <wp:cNvGraphicFramePr/>
                            <a:graphic xmlns:a="http://schemas.openxmlformats.org/drawingml/2006/main">
                              <a:graphicData uri="http://schemas.microsoft.com/office/word/2010/wordprocessingShape">
                                <wps:wsp>
                                  <wps:cNvCnPr/>
                                  <wps:spPr>
                                    <a:xfrm>
                                      <a:off x="0" y="0"/>
                                      <a:ext cx="1911350" cy="4222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pt;margin-top:-0.5pt;height:33.25pt;width:150.5pt;z-index:251720704;mso-width-relative:page;mso-height-relative:page;" filled="f" stroked="t" coordsize="21600,21600" o:gfxdata="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vMijNgA&#10;AAAIAQAADwAAAAAAAAABACAAAAAiAAAAZHJzL2Rvd25yZXYueG1sUEsBAhQAFAAAAAgAh07iQCqk&#10;rDLmAQAAowMAAA4AAAAAAAAAAQAgAAAAJwEAAGRycy9lMm9Eb2MueG1sUEsFBgAAAAAGAAYAWQEA&#10;AH8FAAAAAA==&#10;">
                            <v:fill on="f" focussize="0,0"/>
                            <v:stroke color="#000000" joinstyle="round"/>
                            <v:imagedata o:title=""/>
                            <o:lock v:ext="edit" aspectratio="f"/>
                          </v:shape>
                        </w:pict>
                      </mc:Fallback>
                    </mc:AlternateContent>
                  </w:r>
                  <w:r>
                    <w:rPr>
                      <w:rFonts w:hint="eastAsia" w:ascii="Times New Roman" w:cs="宋体"/>
                      <w:sz w:val="21"/>
                      <w:szCs w:val="21"/>
                    </w:rPr>
                    <w:t xml:space="preserve">           </w:t>
                  </w:r>
                  <w:r>
                    <w:rPr>
                      <w:rFonts w:ascii="Times New Roman" w:cs="宋体"/>
                      <w:sz w:val="21"/>
                      <w:szCs w:val="21"/>
                    </w:rPr>
                    <w:t xml:space="preserve">   </w:t>
                  </w:r>
                  <w:r>
                    <w:rPr>
                      <w:rFonts w:hint="eastAsia" w:ascii="Times New Roman" w:cs="宋体"/>
                      <w:sz w:val="21"/>
                      <w:szCs w:val="21"/>
                    </w:rPr>
                    <w:t xml:space="preserve"> 检测频次</w:t>
                  </w:r>
                </w:p>
                <w:p>
                  <w:pPr>
                    <w:widowControl/>
                    <w:ind w:firstLine="315" w:firstLineChars="150"/>
                    <w:rPr>
                      <w:rFonts w:ascii="Times New Roman" w:cs="宋体"/>
                      <w:sz w:val="21"/>
                      <w:szCs w:val="21"/>
                    </w:rPr>
                  </w:pPr>
                  <w:r>
                    <w:rPr>
                      <w:rFonts w:hint="eastAsia" w:ascii="Times New Roman" w:cs="宋体"/>
                      <w:sz w:val="21"/>
                      <w:szCs w:val="21"/>
                    </w:rPr>
                    <w:t>检测项目</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90" w:type="pct"/>
                  <w:gridSpan w:val="2"/>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标干流量（Nm</w:t>
                  </w:r>
                  <w:r>
                    <w:rPr>
                      <w:rFonts w:hint="eastAsia" w:ascii="Times New Roman" w:cs="宋体"/>
                      <w:sz w:val="21"/>
                      <w:szCs w:val="21"/>
                      <w:vertAlign w:val="superscript"/>
                    </w:rPr>
                    <w:t>3</w:t>
                  </w:r>
                  <w:r>
                    <w:rPr>
                      <w:rFonts w:hint="eastAsia" w:ascii="Times New Roman" w:cs="宋体"/>
                      <w:sz w:val="21"/>
                      <w:szCs w:val="21"/>
                    </w:rPr>
                    <w:t>/h）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2912</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2974</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2853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2259</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2102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85" w:type="pct"/>
                  <w:vMerge w:val="restart"/>
                  <w:tcBorders>
                    <w:top w:val="single" w:color="auto" w:sz="6" w:space="0"/>
                    <w:left w:val="nil"/>
                    <w:bottom w:val="single" w:color="auto" w:sz="6" w:space="0"/>
                    <w:right w:val="single" w:color="auto" w:sz="6" w:space="0"/>
                  </w:tcBorders>
                  <w:noWrap w:val="0"/>
                  <w:vAlign w:val="center"/>
                </w:tcPr>
                <w:p>
                  <w:pPr>
                    <w:spacing w:line="312" w:lineRule="auto"/>
                    <w:jc w:val="center"/>
                    <w:rPr>
                      <w:rFonts w:hint="eastAsia" w:ascii="Times New Roman" w:cs="宋体"/>
                      <w:sz w:val="21"/>
                      <w:szCs w:val="21"/>
                    </w:rPr>
                  </w:pPr>
                  <w:r>
                    <w:rPr>
                      <w:rFonts w:hint="eastAsia" w:ascii="Times New Roman"/>
                      <w:sz w:val="21"/>
                      <w:szCs w:val="21"/>
                    </w:rPr>
                    <w:t>氨</w:t>
                  </w: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实测浓度（mg/m</w:t>
                  </w:r>
                  <w:r>
                    <w:rPr>
                      <w:rFonts w:hint="eastAsia" w:ascii="Times New Roman" w:cs="宋体"/>
                      <w:sz w:val="21"/>
                      <w:szCs w:val="21"/>
                      <w:vertAlign w:val="superscript"/>
                    </w:rPr>
                    <w:t>3</w:t>
                  </w:r>
                  <w:r>
                    <w:rPr>
                      <w:rFonts w:hint="eastAsia" w:ascii="Times New Roman" w:cs="宋体"/>
                      <w:sz w:val="21"/>
                      <w:szCs w:val="21"/>
                    </w:rPr>
                    <w:t>）</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4.84</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4.56</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4.67</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2.15</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1.89</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1.95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85" w:type="pct"/>
                  <w:vMerge w:val="continue"/>
                  <w:tcBorders>
                    <w:top w:val="single" w:color="auto" w:sz="6" w:space="0"/>
                    <w:left w:val="nil"/>
                    <w:bottom w:val="single" w:color="auto" w:sz="6" w:space="0"/>
                    <w:right w:val="single" w:color="auto" w:sz="6" w:space="0"/>
                  </w:tcBorders>
                  <w:noWrap w:val="0"/>
                  <w:vAlign w:val="center"/>
                </w:tcPr>
                <w:p>
                  <w:pPr>
                    <w:widowControl/>
                    <w:jc w:val="center"/>
                    <w:rPr>
                      <w:rFonts w:ascii="Times New Roman" w:cs="宋体"/>
                      <w:sz w:val="21"/>
                      <w:szCs w:val="21"/>
                    </w:rPr>
                  </w:pP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排放速率（kg/h）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1.41</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1.36</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sz w:val="21"/>
                      <w:szCs w:val="21"/>
                    </w:rPr>
                  </w:pPr>
                  <w:r>
                    <w:rPr>
                      <w:rFonts w:hint="eastAsia" w:ascii="Times New Roman"/>
                      <w:sz w:val="21"/>
                      <w:szCs w:val="21"/>
                    </w:rPr>
                    <w:t>1.33</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4.86</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3.97</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4.73</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高度</w:t>
                  </w:r>
                  <w:r>
                    <w:rPr>
                      <w:rFonts w:hint="eastAsia" w:ascii="Times New Roman" w:cs="宋体"/>
                      <w:sz w:val="21"/>
                      <w:szCs w:val="21"/>
                    </w:rPr>
                    <w:t>（m）</w:t>
                  </w:r>
                </w:p>
              </w:tc>
              <w:tc>
                <w:tcPr>
                  <w:tcW w:w="3443" w:type="pct"/>
                  <w:gridSpan w:val="7"/>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内径</w:t>
                  </w:r>
                  <w:r>
                    <w:rPr>
                      <w:rFonts w:hint="eastAsia" w:ascii="Times New Roman" w:cs="宋体"/>
                      <w:sz w:val="21"/>
                      <w:szCs w:val="21"/>
                    </w:rPr>
                    <w:t>（m）</w:t>
                  </w:r>
                </w:p>
              </w:tc>
              <w:tc>
                <w:tcPr>
                  <w:tcW w:w="1732" w:type="pct"/>
                  <w:gridSpan w:val="4"/>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c>
                <w:tcPr>
                  <w:tcW w:w="1711" w:type="pct"/>
                  <w:gridSpan w:val="3"/>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doub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备注</w:t>
                  </w:r>
                </w:p>
              </w:tc>
              <w:tc>
                <w:tcPr>
                  <w:tcW w:w="3443" w:type="pct"/>
                  <w:gridSpan w:val="7"/>
                  <w:tcBorders>
                    <w:top w:val="single" w:color="auto" w:sz="6" w:space="0"/>
                    <w:left w:val="single" w:color="auto" w:sz="4" w:space="0"/>
                    <w:bottom w:val="double" w:color="auto" w:sz="4" w:space="0"/>
                    <w:right w:val="nil"/>
                  </w:tcBorders>
                  <w:noWrap w:val="0"/>
                  <w:vAlign w:val="center"/>
                </w:tcPr>
                <w:p>
                  <w:pPr>
                    <w:widowControl/>
                    <w:jc w:val="center"/>
                    <w:rPr>
                      <w:rFonts w:hint="eastAsia" w:ascii="Times New Roman" w:cs="宋体"/>
                      <w:sz w:val="21"/>
                      <w:szCs w:val="21"/>
                    </w:rPr>
                  </w:pPr>
                  <w:r>
                    <w:rPr>
                      <w:rFonts w:hint="eastAsia" w:ascii="Times New Roman" w:cs="宋体"/>
                      <w:sz w:val="21"/>
                      <w:szCs w:val="21"/>
                    </w:rPr>
                    <w:t>处理效率为66.9%</w:t>
                  </w:r>
                </w:p>
              </w:tc>
            </w:tr>
          </w:tbl>
          <w:p>
            <w:pPr>
              <w:pStyle w:val="8"/>
              <w:ind w:left="1239" w:leftChars="563" w:firstLine="697" w:firstLineChars="317"/>
              <w:rPr>
                <w:rFonts w:hint="default" w:ascii="Tahoma" w:hAnsi="Tahoma" w:eastAsia="Times New Roman" w:cs="宋体"/>
                <w:b w:val="0"/>
                <w:w w:val="100"/>
                <w:sz w:val="22"/>
                <w:szCs w:val="22"/>
                <w:shd w:val="clear"/>
              </w:rPr>
            </w:pPr>
            <w:r>
              <w:rPr>
                <w:rFonts w:hint="default" w:ascii="Tahoma" w:hAnsi="Tahoma" w:eastAsia="Times New Roman" w:cs="宋体"/>
                <w:b w:val="0"/>
                <w:w w:val="100"/>
                <w:sz w:val="22"/>
                <w:szCs w:val="22"/>
                <w:shd w:val="clear"/>
              </w:rPr>
              <w:t>表7</w:t>
            </w:r>
            <w:r>
              <w:rPr>
                <w:rFonts w:hint="eastAsia" w:ascii="Tahoma" w:hAnsi="Tahoma" w:eastAsia="宋体" w:cs="宋体"/>
                <w:b w:val="0"/>
                <w:w w:val="100"/>
                <w:sz w:val="22"/>
                <w:szCs w:val="22"/>
                <w:shd w:val="clear"/>
                <w:lang w:val="en-US" w:eastAsia="zh-CN"/>
              </w:rPr>
              <w:t>-3</w:t>
            </w:r>
            <w:r>
              <w:rPr>
                <w:rFonts w:hint="eastAsia" w:ascii="Tahoma" w:hAnsi="Tahoma" w:eastAsia="Times New Roman" w:cs="宋体"/>
                <w:b w:val="0"/>
                <w:w w:val="100"/>
                <w:sz w:val="22"/>
                <w:szCs w:val="22"/>
                <w:shd w:val="clear"/>
                <w:lang w:val="en-US" w:eastAsia="zh-CN"/>
              </w:rPr>
              <w:t>-</w:t>
            </w:r>
            <w:r>
              <w:rPr>
                <w:rFonts w:hint="eastAsia" w:ascii="Tahoma" w:hAnsi="Tahoma" w:cs="宋体"/>
                <w:b w:val="0"/>
                <w:w w:val="100"/>
                <w:sz w:val="22"/>
                <w:szCs w:val="22"/>
                <w:shd w:val="clear"/>
                <w:lang w:val="en-US" w:eastAsia="zh-CN"/>
              </w:rPr>
              <w:t>2</w:t>
            </w:r>
            <w:r>
              <w:rPr>
                <w:rFonts w:hint="eastAsia" w:ascii="Tahoma" w:hAnsi="Tahoma" w:eastAsia="Times New Roman" w:cs="宋体"/>
                <w:b w:val="0"/>
                <w:w w:val="100"/>
                <w:sz w:val="22"/>
                <w:szCs w:val="22"/>
                <w:shd w:val="clear"/>
                <w:lang w:val="en-US" w:eastAsia="zh-CN"/>
              </w:rPr>
              <w:t>有</w:t>
            </w:r>
            <w:r>
              <w:rPr>
                <w:rFonts w:hint="default" w:ascii="Tahoma" w:hAnsi="Tahoma" w:eastAsia="Times New Roman" w:cs="宋体"/>
                <w:b w:val="0"/>
                <w:w w:val="100"/>
                <w:sz w:val="22"/>
                <w:szCs w:val="22"/>
                <w:shd w:val="clear"/>
              </w:rPr>
              <w:t>组织废气检测结果一览表</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95"/>
              <w:gridCol w:w="1060"/>
              <w:gridCol w:w="627"/>
              <w:gridCol w:w="433"/>
              <w:gridCol w:w="1060"/>
              <w:gridCol w:w="1060"/>
              <w:gridCol w:w="1060"/>
              <w:gridCol w:w="1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double" w:color="auto" w:sz="4" w:space="0"/>
                    <w:left w:val="nil"/>
                    <w:bottom w:val="single" w:color="auto" w:sz="4"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检测类别</w:t>
                  </w:r>
                </w:p>
              </w:tc>
              <w:tc>
                <w:tcPr>
                  <w:tcW w:w="919" w:type="pct"/>
                  <w:gridSpan w:val="2"/>
                  <w:tcBorders>
                    <w:top w:val="double" w:color="auto" w:sz="4" w:space="0"/>
                    <w:left w:val="single" w:color="auto" w:sz="4" w:space="0"/>
                    <w:bottom w:val="single" w:color="auto" w:sz="4" w:space="0"/>
                    <w:right w:val="single" w:color="auto" w:sz="6" w:space="0"/>
                  </w:tcBorders>
                  <w:noWrap w:val="0"/>
                  <w:vAlign w:val="center"/>
                </w:tcPr>
                <w:p>
                  <w:pPr>
                    <w:widowControl/>
                    <w:jc w:val="center"/>
                    <w:rPr>
                      <w:rFonts w:ascii="Times New Roman" w:cs="宋体"/>
                      <w:sz w:val="21"/>
                      <w:szCs w:val="21"/>
                    </w:rPr>
                  </w:pPr>
                  <w:r>
                    <w:rPr>
                      <w:rFonts w:hint="eastAsia" w:ascii="Times New Roman" w:cs="宋体"/>
                      <w:sz w:val="21"/>
                      <w:szCs w:val="21"/>
                    </w:rPr>
                    <w:t>有组织废气</w:t>
                  </w:r>
                </w:p>
              </w:tc>
              <w:tc>
                <w:tcPr>
                  <w:tcW w:w="812" w:type="pct"/>
                  <w:gridSpan w:val="2"/>
                  <w:tcBorders>
                    <w:top w:val="double" w:color="auto" w:sz="4" w:space="0"/>
                    <w:left w:val="single" w:color="auto" w:sz="6" w:space="0"/>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采样日期</w:t>
                  </w:r>
                </w:p>
              </w:tc>
              <w:tc>
                <w:tcPr>
                  <w:tcW w:w="1711" w:type="pct"/>
                  <w:gridSpan w:val="3"/>
                  <w:tcBorders>
                    <w:top w:val="double" w:color="auto" w:sz="4" w:space="0"/>
                    <w:left w:val="single" w:color="auto" w:sz="4" w:space="0"/>
                    <w:bottom w:val="single" w:color="auto" w:sz="4" w:space="0"/>
                    <w:right w:val="nil"/>
                  </w:tcBorders>
                  <w:noWrap w:val="0"/>
                  <w:vAlign w:val="center"/>
                </w:tcPr>
                <w:p>
                  <w:pPr>
                    <w:tabs>
                      <w:tab w:val="left" w:pos="9795"/>
                    </w:tabs>
                    <w:jc w:val="center"/>
                    <w:rPr>
                      <w:rFonts w:ascii="Times New Roman" w:cs="宋体"/>
                      <w:sz w:val="21"/>
                      <w:szCs w:val="21"/>
                    </w:rPr>
                  </w:pPr>
                  <w:r>
                    <w:rPr>
                      <w:rFonts w:hint="eastAsia" w:ascii="Times New Roman" w:cs="宋体"/>
                      <w:color w:val="auto"/>
                      <w:sz w:val="21"/>
                      <w:szCs w:val="21"/>
                    </w:rPr>
                    <w:t>2019.11.26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检测地点</w:t>
                  </w:r>
                </w:p>
              </w:tc>
              <w:tc>
                <w:tcPr>
                  <w:tcW w:w="1732" w:type="pct"/>
                  <w:gridSpan w:val="4"/>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漂洗排气筒进口</w:t>
                  </w:r>
                </w:p>
              </w:tc>
              <w:tc>
                <w:tcPr>
                  <w:tcW w:w="1711" w:type="pct"/>
                  <w:gridSpan w:val="3"/>
                  <w:tcBorders>
                    <w:top w:val="single" w:color="auto" w:sz="4" w:space="0"/>
                    <w:left w:val="single" w:color="auto" w:sz="4" w:space="0"/>
                    <w:bottom w:val="single" w:color="auto" w:sz="4" w:space="0"/>
                    <w:right w:val="nil"/>
                  </w:tcBorders>
                  <w:noWrap w:val="0"/>
                  <w:vAlign w:val="center"/>
                </w:tcPr>
                <w:p>
                  <w:pPr>
                    <w:jc w:val="center"/>
                    <w:rPr>
                      <w:rFonts w:hint="eastAsia" w:ascii="Times New Roman" w:cs="宋体"/>
                      <w:sz w:val="21"/>
                      <w:szCs w:val="21"/>
                    </w:rPr>
                  </w:pPr>
                  <w:r>
                    <w:rPr>
                      <w:rFonts w:hint="eastAsia"/>
                      <w:sz w:val="21"/>
                      <w:szCs w:val="21"/>
                    </w:rPr>
                    <w:t>漂洗排气筒出口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4"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mc:AlternateContent>
                      <mc:Choice Requires="wps">
                        <w:drawing>
                          <wp:anchor distT="0" distB="0" distL="114300" distR="114300" simplePos="0" relativeHeight="251735040" behindDoc="0" locked="0" layoutInCell="1" allowOverlap="1">
                            <wp:simplePos x="0" y="0"/>
                            <wp:positionH relativeFrom="column">
                              <wp:posOffset>-46990</wp:posOffset>
                            </wp:positionH>
                            <wp:positionV relativeFrom="paragraph">
                              <wp:posOffset>-6350</wp:posOffset>
                            </wp:positionV>
                            <wp:extent cx="1911350" cy="422275"/>
                            <wp:effectExtent l="1270" t="4445" r="11430" b="11430"/>
                            <wp:wrapNone/>
                            <wp:docPr id="8" name="直接箭头连接符 8"/>
                            <wp:cNvGraphicFramePr/>
                            <a:graphic xmlns:a="http://schemas.openxmlformats.org/drawingml/2006/main">
                              <a:graphicData uri="http://schemas.microsoft.com/office/word/2010/wordprocessingShape">
                                <wps:wsp>
                                  <wps:cNvCnPr/>
                                  <wps:spPr>
                                    <a:xfrm>
                                      <a:off x="0" y="0"/>
                                      <a:ext cx="1911350" cy="4222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pt;margin-top:-0.5pt;height:33.25pt;width:150.5pt;z-index:251735040;mso-width-relative:page;mso-height-relative:page;" filled="f" stroked="t" coordsize="21600,21600" o:gfxdata="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rzIozYAAAA&#10;CAEAAA8AAAAAAAAAAQAgAAAAIgAAAGRycy9kb3ducmV2LnhtbFBLAQIUABQAAAAIAIdO4kA87obv&#10;5AEAAKMDAAAOAAAAAAAAAAEAIAAAACcBAABkcnMvZTJvRG9jLnhtbFBLBQYAAAAABgAGAFkBAAB9&#10;BQAAAAA=&#10;">
                            <v:fill on="f" focussize="0,0"/>
                            <v:stroke color="#000000" joinstyle="round"/>
                            <v:imagedata o:title=""/>
                            <o:lock v:ext="edit" aspectratio="f"/>
                          </v:shape>
                        </w:pict>
                      </mc:Fallback>
                    </mc:AlternateContent>
                  </w:r>
                  <w:r>
                    <w:rPr>
                      <w:rFonts w:hint="eastAsia" w:ascii="Times New Roman" w:cs="宋体"/>
                      <w:sz w:val="21"/>
                      <w:szCs w:val="21"/>
                    </w:rPr>
                    <w:t xml:space="preserve">           </w:t>
                  </w:r>
                  <w:r>
                    <w:rPr>
                      <w:rFonts w:ascii="Times New Roman" w:cs="宋体"/>
                      <w:sz w:val="21"/>
                      <w:szCs w:val="21"/>
                    </w:rPr>
                    <w:t xml:space="preserve">   </w:t>
                  </w:r>
                  <w:r>
                    <w:rPr>
                      <w:rFonts w:hint="eastAsia" w:ascii="Times New Roman" w:cs="宋体"/>
                      <w:sz w:val="21"/>
                      <w:szCs w:val="21"/>
                    </w:rPr>
                    <w:t xml:space="preserve"> 检测频次</w:t>
                  </w:r>
                </w:p>
                <w:p>
                  <w:pPr>
                    <w:widowControl/>
                    <w:ind w:firstLine="315" w:firstLineChars="150"/>
                    <w:rPr>
                      <w:rFonts w:ascii="Times New Roman" w:cs="宋体"/>
                      <w:sz w:val="21"/>
                      <w:szCs w:val="21"/>
                    </w:rPr>
                  </w:pPr>
                  <w:r>
                    <w:rPr>
                      <w:rFonts w:hint="eastAsia" w:ascii="Times New Roman" w:cs="宋体"/>
                      <w:sz w:val="21"/>
                      <w:szCs w:val="21"/>
                    </w:rPr>
                    <w:t>检测项目</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90" w:type="pct"/>
                  <w:gridSpan w:val="2"/>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第1次</w:t>
                  </w:r>
                </w:p>
              </w:tc>
              <w:tc>
                <w:tcPr>
                  <w:tcW w:w="570"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第2次</w:t>
                  </w:r>
                </w:p>
              </w:tc>
              <w:tc>
                <w:tcPr>
                  <w:tcW w:w="571" w:type="pct"/>
                  <w:tcBorders>
                    <w:top w:val="single" w:color="auto" w:sz="4" w:space="0"/>
                    <w:left w:val="single" w:color="auto" w:sz="4" w:space="0"/>
                    <w:bottom w:val="single" w:color="auto" w:sz="6"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第3次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ascii="Times New Roman" w:cs="宋体"/>
                      <w:sz w:val="21"/>
                      <w:szCs w:val="21"/>
                    </w:rPr>
                  </w:pPr>
                  <w:r>
                    <w:rPr>
                      <w:rFonts w:hint="eastAsia" w:ascii="Times New Roman" w:cs="宋体"/>
                      <w:sz w:val="21"/>
                      <w:szCs w:val="21"/>
                    </w:rPr>
                    <w:t>标干流量（Nm</w:t>
                  </w:r>
                  <w:r>
                    <w:rPr>
                      <w:rFonts w:hint="eastAsia" w:ascii="Times New Roman" w:cs="宋体"/>
                      <w:sz w:val="21"/>
                      <w:szCs w:val="21"/>
                      <w:vertAlign w:val="superscript"/>
                    </w:rPr>
                    <w:t>3</w:t>
                  </w:r>
                  <w:r>
                    <w:rPr>
                      <w:rFonts w:hint="eastAsia" w:ascii="Times New Roman" w:cs="宋体"/>
                      <w:sz w:val="21"/>
                      <w:szCs w:val="21"/>
                    </w:rPr>
                    <w:t>/h）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2820</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2764</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2733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2303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2342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color w:val="auto"/>
                      <w:sz w:val="21"/>
                      <w:szCs w:val="21"/>
                    </w:rPr>
                  </w:pPr>
                  <w:r>
                    <w:rPr>
                      <w:rFonts w:hint="eastAsia" w:ascii="Times New Roman" w:cs="宋体"/>
                      <w:color w:val="auto"/>
                      <w:sz w:val="21"/>
                      <w:szCs w:val="21"/>
                    </w:rPr>
                    <w:t>2371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585" w:type="pct"/>
                  <w:vMerge w:val="restart"/>
                  <w:tcBorders>
                    <w:top w:val="single" w:color="auto" w:sz="6" w:space="0"/>
                    <w:left w:val="nil"/>
                    <w:bottom w:val="single" w:color="auto" w:sz="6" w:space="0"/>
                    <w:right w:val="single" w:color="auto" w:sz="6" w:space="0"/>
                  </w:tcBorders>
                  <w:noWrap w:val="0"/>
                  <w:vAlign w:val="center"/>
                </w:tcPr>
                <w:p>
                  <w:pPr>
                    <w:spacing w:line="312" w:lineRule="auto"/>
                    <w:jc w:val="center"/>
                    <w:rPr>
                      <w:rFonts w:hint="eastAsia" w:ascii="Times New Roman" w:cs="宋体"/>
                      <w:sz w:val="21"/>
                      <w:szCs w:val="21"/>
                    </w:rPr>
                  </w:pPr>
                  <w:r>
                    <w:rPr>
                      <w:rFonts w:hint="eastAsia" w:ascii="Times New Roman"/>
                      <w:sz w:val="21"/>
                      <w:szCs w:val="21"/>
                    </w:rPr>
                    <w:t>氨</w:t>
                  </w: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实测浓度（mg/m</w:t>
                  </w:r>
                  <w:r>
                    <w:rPr>
                      <w:rFonts w:hint="eastAsia" w:ascii="Times New Roman" w:cs="宋体"/>
                      <w:sz w:val="21"/>
                      <w:szCs w:val="21"/>
                      <w:vertAlign w:val="superscript"/>
                    </w:rPr>
                    <w:t>3</w:t>
                  </w:r>
                  <w:r>
                    <w:rPr>
                      <w:rFonts w:hint="eastAsia" w:ascii="Times New Roman" w:cs="宋体"/>
                      <w:sz w:val="21"/>
                      <w:szCs w:val="21"/>
                    </w:rPr>
                    <w:t>）</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4.77</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4.49</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4.59</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2.05</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1.93</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color w:val="auto"/>
                      <w:sz w:val="21"/>
                      <w:szCs w:val="21"/>
                    </w:rPr>
                  </w:pPr>
                  <w:r>
                    <w:rPr>
                      <w:rFonts w:hint="eastAsia" w:ascii="Times New Roman" w:cs="宋体"/>
                      <w:color w:val="auto"/>
                      <w:sz w:val="21"/>
                      <w:szCs w:val="21"/>
                    </w:rPr>
                    <w:t>1.79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85" w:type="pct"/>
                  <w:vMerge w:val="continue"/>
                  <w:tcBorders>
                    <w:top w:val="single" w:color="auto" w:sz="6" w:space="0"/>
                    <w:left w:val="nil"/>
                    <w:bottom w:val="single" w:color="auto" w:sz="6" w:space="0"/>
                    <w:right w:val="single" w:color="auto" w:sz="6" w:space="0"/>
                  </w:tcBorders>
                  <w:noWrap w:val="0"/>
                  <w:vAlign w:val="center"/>
                </w:tcPr>
                <w:p>
                  <w:pPr>
                    <w:widowControl/>
                    <w:jc w:val="center"/>
                    <w:rPr>
                      <w:rFonts w:ascii="Times New Roman" w:cs="宋体"/>
                      <w:sz w:val="21"/>
                      <w:szCs w:val="21"/>
                    </w:rPr>
                  </w:pPr>
                </w:p>
              </w:tc>
              <w:tc>
                <w:tcPr>
                  <w:tcW w:w="970" w:type="pct"/>
                  <w:tcBorders>
                    <w:top w:val="single" w:color="auto" w:sz="6" w:space="0"/>
                    <w:left w:val="single" w:color="auto" w:sz="6" w:space="0"/>
                    <w:bottom w:val="single" w:color="auto" w:sz="6" w:space="0"/>
                    <w:right w:val="single" w:color="auto" w:sz="4" w:space="0"/>
                  </w:tcBorders>
                  <w:noWrap w:val="0"/>
                  <w:vAlign w:val="center"/>
                </w:tcPr>
                <w:p>
                  <w:pPr>
                    <w:widowControl/>
                    <w:rPr>
                      <w:rFonts w:ascii="Times New Roman" w:cs="宋体"/>
                      <w:sz w:val="21"/>
                      <w:szCs w:val="21"/>
                    </w:rPr>
                  </w:pPr>
                  <w:r>
                    <w:rPr>
                      <w:rFonts w:hint="eastAsia" w:ascii="Times New Roman" w:cs="宋体"/>
                      <w:sz w:val="21"/>
                      <w:szCs w:val="21"/>
                    </w:rPr>
                    <w:t>排放速率（kg/h）</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1.35</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90" w:type="pct"/>
                  <w:gridSpan w:val="2"/>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1.24</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hint="eastAsia" w:ascii="Times New Roman" w:cs="宋体"/>
                      <w:sz w:val="21"/>
                      <w:szCs w:val="21"/>
                    </w:rPr>
                  </w:pPr>
                  <w:r>
                    <w:rPr>
                      <w:rFonts w:hint="eastAsia" w:ascii="Times New Roman"/>
                      <w:sz w:val="21"/>
                      <w:szCs w:val="21"/>
                    </w:rPr>
                    <w:t>1.25</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-2</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4.72</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0"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4.52</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c>
                <w:tcPr>
                  <w:tcW w:w="571" w:type="pct"/>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sz w:val="21"/>
                      <w:szCs w:val="21"/>
                    </w:rPr>
                    <w:t>4.24</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高度</w:t>
                  </w:r>
                  <w:r>
                    <w:rPr>
                      <w:rFonts w:hint="eastAsia" w:ascii="Times New Roman" w:cs="宋体"/>
                      <w:sz w:val="21"/>
                      <w:szCs w:val="21"/>
                    </w:rPr>
                    <w:t>（m）</w:t>
                  </w:r>
                </w:p>
              </w:tc>
              <w:tc>
                <w:tcPr>
                  <w:tcW w:w="3443" w:type="pct"/>
                  <w:gridSpan w:val="7"/>
                  <w:tcBorders>
                    <w:top w:val="single" w:color="auto" w:sz="6" w:space="0"/>
                    <w:left w:val="single" w:color="auto" w:sz="4" w:space="0"/>
                    <w:bottom w:val="single" w:color="auto" w:sz="6"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single" w:color="auto" w:sz="6"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排气筒</w:t>
                  </w:r>
                  <w:r>
                    <w:rPr>
                      <w:rFonts w:ascii="Times New Roman" w:cs="宋体"/>
                      <w:sz w:val="21"/>
                      <w:szCs w:val="21"/>
                    </w:rPr>
                    <w:t>内径</w:t>
                  </w:r>
                  <w:r>
                    <w:rPr>
                      <w:rFonts w:hint="eastAsia" w:ascii="Times New Roman" w:cs="宋体"/>
                      <w:sz w:val="21"/>
                      <w:szCs w:val="21"/>
                    </w:rPr>
                    <w:t>（m）</w:t>
                  </w:r>
                </w:p>
              </w:tc>
              <w:tc>
                <w:tcPr>
                  <w:tcW w:w="1732" w:type="pct"/>
                  <w:gridSpan w:val="4"/>
                  <w:tcBorders>
                    <w:top w:val="single" w:color="auto" w:sz="6" w:space="0"/>
                    <w:left w:val="single" w:color="auto" w:sz="4" w:space="0"/>
                    <w:bottom w:val="single" w:color="auto" w:sz="4" w:space="0"/>
                    <w:right w:val="nil"/>
                  </w:tcBorders>
                  <w:noWrap w:val="0"/>
                  <w:vAlign w:val="center"/>
                </w:tcPr>
                <w:p>
                  <w:pPr>
                    <w:widowControl/>
                    <w:jc w:val="center"/>
                    <w:rPr>
                      <w:rFonts w:ascii="Times New Roman" w:cs="宋体"/>
                      <w:sz w:val="21"/>
                      <w:szCs w:val="21"/>
                    </w:rPr>
                  </w:pPr>
                  <w:r>
                    <w:rPr>
                      <w:rFonts w:hint="eastAsia" w:ascii="Times New Roman" w:cs="宋体"/>
                      <w:sz w:val="21"/>
                      <w:szCs w:val="21"/>
                    </w:rPr>
                    <w:t>0.3</w:t>
                  </w:r>
                </w:p>
              </w:tc>
              <w:tc>
                <w:tcPr>
                  <w:tcW w:w="1711" w:type="pct"/>
                  <w:gridSpan w:val="3"/>
                  <w:tcBorders>
                    <w:top w:val="single" w:color="auto" w:sz="6" w:space="0"/>
                    <w:left w:val="single" w:color="auto" w:sz="4" w:space="0"/>
                    <w:bottom w:val="single" w:color="auto" w:sz="4" w:space="0"/>
                    <w:right w:val="nil"/>
                  </w:tcBorders>
                  <w:noWrap w:val="0"/>
                  <w:vAlign w:val="center"/>
                </w:tcPr>
                <w:p>
                  <w:pPr>
                    <w:widowControl/>
                    <w:jc w:val="center"/>
                  </w:pPr>
                  <w:r>
                    <w:rPr>
                      <w:rFonts w:hint="eastAsia" w:ascii="Times New Roman" w:cs="宋体"/>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56" w:type="pct"/>
                  <w:gridSpan w:val="2"/>
                  <w:tcBorders>
                    <w:top w:val="single" w:color="auto" w:sz="6" w:space="0"/>
                    <w:left w:val="nil"/>
                    <w:bottom w:val="double" w:color="auto" w:sz="4" w:space="0"/>
                    <w:right w:val="single" w:color="auto" w:sz="4" w:space="0"/>
                  </w:tcBorders>
                  <w:noWrap w:val="0"/>
                  <w:vAlign w:val="center"/>
                </w:tcPr>
                <w:p>
                  <w:pPr>
                    <w:widowControl/>
                    <w:jc w:val="center"/>
                    <w:rPr>
                      <w:rFonts w:hint="eastAsia" w:ascii="Times New Roman" w:cs="宋体"/>
                      <w:sz w:val="21"/>
                      <w:szCs w:val="21"/>
                    </w:rPr>
                  </w:pPr>
                  <w:r>
                    <w:rPr>
                      <w:rFonts w:hint="eastAsia" w:ascii="Times New Roman" w:cs="宋体"/>
                      <w:sz w:val="21"/>
                      <w:szCs w:val="21"/>
                    </w:rPr>
                    <w:t>备注</w:t>
                  </w:r>
                </w:p>
              </w:tc>
              <w:tc>
                <w:tcPr>
                  <w:tcW w:w="3443" w:type="pct"/>
                  <w:gridSpan w:val="7"/>
                  <w:tcBorders>
                    <w:top w:val="single" w:color="auto" w:sz="6" w:space="0"/>
                    <w:left w:val="single" w:color="auto" w:sz="4" w:space="0"/>
                    <w:bottom w:val="double" w:color="auto" w:sz="4" w:space="0"/>
                    <w:right w:val="nil"/>
                  </w:tcBorders>
                  <w:noWrap w:val="0"/>
                  <w:vAlign w:val="center"/>
                </w:tcPr>
                <w:p>
                  <w:pPr>
                    <w:widowControl/>
                    <w:jc w:val="center"/>
                    <w:rPr>
                      <w:rFonts w:hint="eastAsia" w:ascii="Times New Roman" w:cs="宋体"/>
                      <w:sz w:val="21"/>
                      <w:szCs w:val="21"/>
                    </w:rPr>
                  </w:pPr>
                  <w:r>
                    <w:rPr>
                      <w:rFonts w:hint="eastAsia" w:ascii="Times New Roman" w:cs="宋体"/>
                      <w:sz w:val="21"/>
                      <w:szCs w:val="21"/>
                    </w:rPr>
                    <w:t>处理效率为64.9%</w:t>
                  </w:r>
                </w:p>
              </w:tc>
            </w:tr>
          </w:tbl>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表7-</w:t>
            </w:r>
            <w:r>
              <w:rPr>
                <w:rFonts w:hint="eastAsia" w:ascii="Times New Roman" w:hAnsi="宋体" w:eastAsia="宋体"/>
                <w:color w:val="auto"/>
                <w:position w:val="0"/>
                <w:sz w:val="24"/>
                <w:szCs w:val="24"/>
                <w:lang w:val="en-US" w:eastAsia="zh-CN"/>
              </w:rPr>
              <w:t>4-1无</w:t>
            </w:r>
            <w:r>
              <w:rPr>
                <w:rFonts w:hint="default" w:ascii="Times New Roman" w:hAnsi="宋体" w:eastAsia="宋体"/>
                <w:color w:val="auto"/>
                <w:position w:val="0"/>
                <w:sz w:val="24"/>
                <w:szCs w:val="24"/>
              </w:rPr>
              <w:t>组织废气检测结果一览表</w:t>
            </w:r>
          </w:p>
          <w:p>
            <w:pPr>
              <w:pStyle w:val="8"/>
              <w:rPr>
                <w:rFonts w:hint="default"/>
              </w:rPr>
            </w:pP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19"/>
              <w:gridCol w:w="1548"/>
              <w:gridCol w:w="501"/>
              <w:gridCol w:w="1048"/>
              <w:gridCol w:w="977"/>
              <w:gridCol w:w="583"/>
              <w:gridCol w:w="181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519" w:type="dxa"/>
                  <w:tcBorders>
                    <w:top w:val="doub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检测类别</w:t>
                  </w:r>
                </w:p>
              </w:tc>
              <w:tc>
                <w:tcPr>
                  <w:tcW w:w="2049" w:type="dxa"/>
                  <w:gridSpan w:val="2"/>
                  <w:tcBorders>
                    <w:top w:val="doub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无组织废气</w:t>
                  </w:r>
                </w:p>
              </w:tc>
              <w:tc>
                <w:tcPr>
                  <w:tcW w:w="2025" w:type="dxa"/>
                  <w:gridSpan w:val="2"/>
                  <w:tcBorders>
                    <w:top w:val="double" w:color="auto" w:sz="4"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采样日期</w:t>
                  </w:r>
                </w:p>
              </w:tc>
              <w:tc>
                <w:tcPr>
                  <w:tcW w:w="2401" w:type="dxa"/>
                  <w:gridSpan w:val="2"/>
                  <w:tcBorders>
                    <w:top w:val="doub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检测项目</w:t>
                  </w:r>
                </w:p>
              </w:tc>
              <w:tc>
                <w:tcPr>
                  <w:tcW w:w="6475" w:type="dxa"/>
                  <w:gridSpan w:val="6"/>
                  <w:tcBorders>
                    <w:top w:val="single" w:color="auto" w:sz="4"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sz w:val="21"/>
                      <w:szCs w:val="21"/>
                    </w:rPr>
                    <w:t>氨</w:t>
                  </w:r>
                  <w:r>
                    <w:rPr>
                      <w:rFonts w:hint="eastAsia" w:ascii="Times New Roman" w:cs="宋体"/>
                      <w:sz w:val="21"/>
                      <w:szCs w:val="21"/>
                    </w:rPr>
                    <w:t>（mg/m</w:t>
                  </w:r>
                  <w:r>
                    <w:rPr>
                      <w:rFonts w:hint="eastAsia" w:ascii="Times New Roman" w:cs="宋体"/>
                      <w:sz w:val="21"/>
                      <w:szCs w:val="21"/>
                      <w:vertAlign w:val="superscript"/>
                    </w:rPr>
                    <w:t>3</w:t>
                  </w:r>
                  <w:r>
                    <w:rPr>
                      <w:rFonts w:hint="eastAsia" w:ascii="Times New Roman" w:cs="宋体"/>
                      <w:sz w:val="21"/>
                      <w:szCs w:val="21"/>
                    </w:rPr>
                    <w:t>）</w:t>
                  </w:r>
                  <w:r>
                    <w:rPr>
                      <w:rFonts w:hint="eastAsia" w:ascii="Times New Roman" w:cs="宋体"/>
                      <w:color w:val="auto"/>
                      <w:sz w:val="21"/>
                      <w:szCs w:val="21"/>
                    </w:rPr>
                    <w:t>小时值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采样点位</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上风向1#</w:t>
                  </w:r>
                </w:p>
              </w:tc>
              <w:tc>
                <w:tcPr>
                  <w:tcW w:w="1549" w:type="dxa"/>
                  <w:gridSpan w:val="2"/>
                  <w:tcBorders>
                    <w:top w:val="single" w:color="000000" w:sz="6"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下风向2#</w:t>
                  </w:r>
                </w:p>
              </w:tc>
              <w:tc>
                <w:tcPr>
                  <w:tcW w:w="1560" w:type="dxa"/>
                  <w:gridSpan w:val="2"/>
                  <w:tcBorders>
                    <w:top w:val="single" w:color="000000" w:sz="6"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下风向3#</w:t>
                  </w:r>
                </w:p>
              </w:tc>
              <w:tc>
                <w:tcPr>
                  <w:tcW w:w="1818" w:type="dxa"/>
                  <w:tcBorders>
                    <w:top w:val="single" w:color="000000" w:sz="6"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auto" w:sz="4"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6475" w:type="dxa"/>
                  <w:gridSpan w:val="6"/>
                  <w:tcBorders>
                    <w:top w:val="single" w:color="auto" w:sz="4"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第1次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0.11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0.14</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第2次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0.12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0.16</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0.13</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第3次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0.09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0.14</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第4次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0.10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0.14</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6475" w:type="dxa"/>
                  <w:gridSpan w:val="6"/>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第1次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0.10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0.14</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0.13</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第2次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0.11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0.14</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第3次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0.09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0.14</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hint="eastAsia" w:ascii="Times New Roman" w:cs="宋体"/>
                      <w:color w:val="auto"/>
                      <w:sz w:val="21"/>
                      <w:szCs w:val="21"/>
                    </w:rPr>
                  </w:pPr>
                  <w:r>
                    <w:rPr>
                      <w:rFonts w:hint="eastAsia" w:ascii="Times New Roman" w:cs="宋体"/>
                      <w:color w:val="auto"/>
                      <w:sz w:val="21"/>
                      <w:szCs w:val="21"/>
                    </w:rPr>
                    <w:t>第4次</w:t>
                  </w:r>
                </w:p>
              </w:tc>
              <w:tc>
                <w:tcPr>
                  <w:tcW w:w="1548"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0.11 </w:t>
                  </w:r>
                </w:p>
              </w:tc>
              <w:tc>
                <w:tcPr>
                  <w:tcW w:w="1549"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0.15</w:t>
                  </w:r>
                </w:p>
              </w:tc>
              <w:tc>
                <w:tcPr>
                  <w:tcW w:w="1560"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0.13</w:t>
                  </w:r>
                </w:p>
              </w:tc>
              <w:tc>
                <w:tcPr>
                  <w:tcW w:w="1818"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19" w:type="dxa"/>
                  <w:tcBorders>
                    <w:top w:val="single" w:color="000000" w:sz="6" w:space="0"/>
                    <w:left w:val="nil"/>
                    <w:bottom w:val="doub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备注</w:t>
                  </w:r>
                </w:p>
              </w:tc>
              <w:tc>
                <w:tcPr>
                  <w:tcW w:w="6475" w:type="dxa"/>
                  <w:gridSpan w:val="6"/>
                  <w:tcBorders>
                    <w:top w:val="single" w:color="000000" w:sz="6" w:space="0"/>
                    <w:left w:val="single" w:color="auto" w:sz="4" w:space="0"/>
                    <w:bottom w:val="double" w:color="auto" w:sz="4" w:space="0"/>
                    <w:right w:val="nil"/>
                  </w:tcBorders>
                  <w:noWrap w:val="0"/>
                  <w:vAlign w:val="center"/>
                </w:tcPr>
                <w:p>
                  <w:pPr>
                    <w:tabs>
                      <w:tab w:val="left" w:pos="9795"/>
                    </w:tabs>
                    <w:jc w:val="center"/>
                    <w:rPr>
                      <w:rFonts w:hint="eastAsia" w:ascii="Times New Roman" w:cs="宋体"/>
                      <w:color w:val="auto"/>
                      <w:sz w:val="21"/>
                      <w:szCs w:val="21"/>
                    </w:rPr>
                  </w:pPr>
                  <w:r>
                    <w:rPr>
                      <w:rFonts w:hint="eastAsia" w:ascii="Times New Roman" w:cs="宋体"/>
                      <w:color w:val="auto"/>
                      <w:sz w:val="21"/>
                      <w:szCs w:val="21"/>
                    </w:rPr>
                    <w:t>/</w:t>
                  </w:r>
                </w:p>
              </w:tc>
            </w:tr>
          </w:tbl>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表7-</w:t>
            </w:r>
            <w:r>
              <w:rPr>
                <w:rFonts w:hint="eastAsia" w:ascii="Times New Roman" w:hAnsi="宋体" w:eastAsia="宋体"/>
                <w:color w:val="auto"/>
                <w:position w:val="0"/>
                <w:sz w:val="24"/>
                <w:szCs w:val="24"/>
                <w:lang w:val="en-US" w:eastAsia="zh-CN"/>
              </w:rPr>
              <w:t>4-2无</w:t>
            </w:r>
            <w:r>
              <w:rPr>
                <w:rFonts w:hint="default" w:ascii="Times New Roman" w:hAnsi="宋体" w:eastAsia="宋体"/>
                <w:color w:val="auto"/>
                <w:position w:val="0"/>
                <w:sz w:val="24"/>
                <w:szCs w:val="24"/>
              </w:rPr>
              <w:t>组织废气检测结果一览表</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97"/>
              <w:gridCol w:w="1556"/>
              <w:gridCol w:w="505"/>
              <w:gridCol w:w="1052"/>
              <w:gridCol w:w="979"/>
              <w:gridCol w:w="578"/>
              <w:gridCol w:w="18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866" w:type="dxa"/>
                  <w:tcBorders>
                    <w:top w:val="doub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检测类别</w:t>
                  </w:r>
                </w:p>
              </w:tc>
              <w:tc>
                <w:tcPr>
                  <w:tcW w:w="2473" w:type="dxa"/>
                  <w:gridSpan w:val="2"/>
                  <w:tcBorders>
                    <w:top w:val="doub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无组织废气</w:t>
                  </w:r>
                </w:p>
              </w:tc>
              <w:tc>
                <w:tcPr>
                  <w:tcW w:w="2474" w:type="dxa"/>
                  <w:gridSpan w:val="2"/>
                  <w:tcBorders>
                    <w:top w:val="double" w:color="auto" w:sz="4"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采样日期</w:t>
                  </w:r>
                </w:p>
              </w:tc>
              <w:tc>
                <w:tcPr>
                  <w:tcW w:w="2473" w:type="dxa"/>
                  <w:gridSpan w:val="2"/>
                  <w:tcBorders>
                    <w:top w:val="doub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检测项目</w:t>
                  </w:r>
                </w:p>
              </w:tc>
              <w:tc>
                <w:tcPr>
                  <w:tcW w:w="7420" w:type="dxa"/>
                  <w:gridSpan w:val="6"/>
                  <w:tcBorders>
                    <w:top w:val="single" w:color="auto" w:sz="4"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sz w:val="21"/>
                      <w:szCs w:val="21"/>
                    </w:rPr>
                    <w:t>硫酸雾</w:t>
                  </w:r>
                  <w:r>
                    <w:rPr>
                      <w:rFonts w:hint="eastAsia" w:ascii="Times New Roman" w:cs="宋体"/>
                      <w:sz w:val="21"/>
                      <w:szCs w:val="21"/>
                    </w:rPr>
                    <w:t>（mg/m</w:t>
                  </w:r>
                  <w:r>
                    <w:rPr>
                      <w:rFonts w:hint="eastAsia" w:ascii="Times New Roman" w:cs="宋体"/>
                      <w:sz w:val="21"/>
                      <w:szCs w:val="21"/>
                      <w:vertAlign w:val="superscript"/>
                    </w:rPr>
                    <w:t>3</w:t>
                  </w:r>
                  <w:r>
                    <w:rPr>
                      <w:rFonts w:hint="eastAsia" w:ascii="Times New Roman" w:cs="宋体"/>
                      <w:sz w:val="21"/>
                      <w:szCs w:val="21"/>
                    </w:rPr>
                    <w:t>）</w:t>
                  </w:r>
                  <w:r>
                    <w:rPr>
                      <w:rFonts w:hint="eastAsia" w:ascii="Times New Roman" w:cs="宋体"/>
                      <w:color w:val="auto"/>
                      <w:sz w:val="21"/>
                      <w:szCs w:val="21"/>
                    </w:rPr>
                    <w:t>小时值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采样点位</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上风向1#</w:t>
                  </w:r>
                </w:p>
              </w:tc>
              <w:tc>
                <w:tcPr>
                  <w:tcW w:w="1855" w:type="dxa"/>
                  <w:gridSpan w:val="2"/>
                  <w:tcBorders>
                    <w:top w:val="single" w:color="000000" w:sz="6"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下风向2#</w:t>
                  </w:r>
                </w:p>
              </w:tc>
              <w:tc>
                <w:tcPr>
                  <w:tcW w:w="1855" w:type="dxa"/>
                  <w:gridSpan w:val="2"/>
                  <w:tcBorders>
                    <w:top w:val="single" w:color="000000" w:sz="6"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下风向3#</w:t>
                  </w:r>
                </w:p>
              </w:tc>
              <w:tc>
                <w:tcPr>
                  <w:tcW w:w="1855" w:type="dxa"/>
                  <w:tcBorders>
                    <w:top w:val="single" w:color="000000" w:sz="6"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7420" w:type="dxa"/>
                  <w:gridSpan w:val="6"/>
                  <w:tcBorders>
                    <w:top w:val="single" w:color="auto" w:sz="4"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第1次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0.011</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0.022</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0.019</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第2次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0.019</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0.022</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第3次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0.016</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0.021</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0.025</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第4次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0.017</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0.022</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0.023</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7420" w:type="dxa"/>
                  <w:gridSpan w:val="6"/>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第1次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0.018</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0.019</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第2次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0.012</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0.019</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0.026</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第3次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0.016</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0.021</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hint="eastAsia" w:ascii="Times New Roman" w:cs="宋体"/>
                      <w:color w:val="auto"/>
                      <w:sz w:val="21"/>
                      <w:szCs w:val="21"/>
                    </w:rPr>
                  </w:pPr>
                  <w:r>
                    <w:rPr>
                      <w:rFonts w:hint="eastAsia" w:ascii="Times New Roman" w:cs="宋体"/>
                      <w:color w:val="auto"/>
                      <w:sz w:val="21"/>
                      <w:szCs w:val="21"/>
                    </w:rPr>
                    <w:t>第4次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0.020 </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doub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备注</w:t>
                  </w:r>
                </w:p>
              </w:tc>
              <w:tc>
                <w:tcPr>
                  <w:tcW w:w="7420" w:type="dxa"/>
                  <w:gridSpan w:val="6"/>
                  <w:tcBorders>
                    <w:top w:val="single" w:color="000000" w:sz="6" w:space="0"/>
                    <w:left w:val="single" w:color="auto" w:sz="4" w:space="0"/>
                    <w:bottom w:val="double" w:color="auto" w:sz="4" w:space="0"/>
                    <w:right w:val="nil"/>
                  </w:tcBorders>
                  <w:noWrap w:val="0"/>
                  <w:vAlign w:val="center"/>
                </w:tcPr>
                <w:p>
                  <w:pPr>
                    <w:tabs>
                      <w:tab w:val="left" w:pos="9795"/>
                    </w:tabs>
                    <w:jc w:val="center"/>
                    <w:rPr>
                      <w:rFonts w:hint="eastAsia" w:ascii="Times New Roman" w:cs="宋体"/>
                      <w:color w:val="auto"/>
                      <w:sz w:val="21"/>
                      <w:szCs w:val="21"/>
                    </w:rPr>
                  </w:pPr>
                  <w:r>
                    <w:rPr>
                      <w:rFonts w:hint="eastAsia" w:ascii="Times New Roman" w:cs="宋体"/>
                      <w:color w:val="auto"/>
                      <w:sz w:val="21"/>
                      <w:szCs w:val="21"/>
                    </w:rPr>
                    <w:t>/</w:t>
                  </w:r>
                </w:p>
              </w:tc>
            </w:tr>
          </w:tbl>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表7-</w:t>
            </w:r>
            <w:r>
              <w:rPr>
                <w:rFonts w:hint="eastAsia" w:ascii="Times New Roman" w:hAnsi="宋体" w:eastAsia="宋体"/>
                <w:color w:val="auto"/>
                <w:position w:val="0"/>
                <w:sz w:val="24"/>
                <w:szCs w:val="24"/>
                <w:lang w:val="en-US" w:eastAsia="zh-CN"/>
              </w:rPr>
              <w:t>4-3无</w:t>
            </w:r>
            <w:r>
              <w:rPr>
                <w:rFonts w:hint="default" w:ascii="Times New Roman" w:hAnsi="宋体" w:eastAsia="宋体"/>
                <w:color w:val="auto"/>
                <w:position w:val="0"/>
                <w:sz w:val="24"/>
                <w:szCs w:val="24"/>
              </w:rPr>
              <w:t>组织废气检测结果一览表</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97"/>
              <w:gridCol w:w="1556"/>
              <w:gridCol w:w="505"/>
              <w:gridCol w:w="1052"/>
              <w:gridCol w:w="979"/>
              <w:gridCol w:w="578"/>
              <w:gridCol w:w="18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866" w:type="dxa"/>
                  <w:tcBorders>
                    <w:top w:val="doub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检测类别</w:t>
                  </w:r>
                </w:p>
              </w:tc>
              <w:tc>
                <w:tcPr>
                  <w:tcW w:w="2473" w:type="dxa"/>
                  <w:gridSpan w:val="2"/>
                  <w:tcBorders>
                    <w:top w:val="doub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无组织废气</w:t>
                  </w:r>
                </w:p>
              </w:tc>
              <w:tc>
                <w:tcPr>
                  <w:tcW w:w="2474" w:type="dxa"/>
                  <w:gridSpan w:val="2"/>
                  <w:tcBorders>
                    <w:top w:val="double" w:color="auto" w:sz="4"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采样日期</w:t>
                  </w:r>
                </w:p>
              </w:tc>
              <w:tc>
                <w:tcPr>
                  <w:tcW w:w="2473" w:type="dxa"/>
                  <w:gridSpan w:val="2"/>
                  <w:tcBorders>
                    <w:top w:val="doub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检测项目</w:t>
                  </w:r>
                </w:p>
              </w:tc>
              <w:tc>
                <w:tcPr>
                  <w:tcW w:w="7420" w:type="dxa"/>
                  <w:gridSpan w:val="6"/>
                  <w:tcBorders>
                    <w:top w:val="single" w:color="auto" w:sz="4"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sz w:val="21"/>
                      <w:szCs w:val="21"/>
                    </w:rPr>
                    <w:t>硫化氢</w:t>
                  </w:r>
                  <w:r>
                    <w:rPr>
                      <w:rFonts w:hint="eastAsia" w:ascii="Times New Roman" w:cs="宋体"/>
                      <w:sz w:val="21"/>
                      <w:szCs w:val="21"/>
                    </w:rPr>
                    <w:t>（mg/m</w:t>
                  </w:r>
                  <w:r>
                    <w:rPr>
                      <w:rFonts w:hint="eastAsia" w:ascii="Times New Roman" w:cs="宋体"/>
                      <w:sz w:val="21"/>
                      <w:szCs w:val="21"/>
                      <w:vertAlign w:val="superscript"/>
                    </w:rPr>
                    <w:t>3</w:t>
                  </w:r>
                  <w:r>
                    <w:rPr>
                      <w:rFonts w:hint="eastAsia" w:ascii="Times New Roman" w:cs="宋体"/>
                      <w:sz w:val="21"/>
                      <w:szCs w:val="21"/>
                    </w:rPr>
                    <w:t>）</w:t>
                  </w:r>
                  <w:r>
                    <w:rPr>
                      <w:rFonts w:hint="eastAsia" w:ascii="Times New Roman" w:cs="宋体"/>
                      <w:color w:val="auto"/>
                      <w:sz w:val="21"/>
                      <w:szCs w:val="21"/>
                    </w:rPr>
                    <w:t>小时值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采样点位</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上风向1#</w:t>
                  </w:r>
                </w:p>
              </w:tc>
              <w:tc>
                <w:tcPr>
                  <w:tcW w:w="1855" w:type="dxa"/>
                  <w:gridSpan w:val="2"/>
                  <w:tcBorders>
                    <w:top w:val="single" w:color="000000" w:sz="6"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下风向2#</w:t>
                  </w:r>
                </w:p>
              </w:tc>
              <w:tc>
                <w:tcPr>
                  <w:tcW w:w="1855" w:type="dxa"/>
                  <w:gridSpan w:val="2"/>
                  <w:tcBorders>
                    <w:top w:val="single" w:color="000000" w:sz="6"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下风向3#</w:t>
                  </w:r>
                </w:p>
              </w:tc>
              <w:tc>
                <w:tcPr>
                  <w:tcW w:w="1855" w:type="dxa"/>
                  <w:tcBorders>
                    <w:top w:val="single" w:color="000000" w:sz="6"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7420" w:type="dxa"/>
                  <w:gridSpan w:val="6"/>
                  <w:tcBorders>
                    <w:top w:val="single" w:color="auto" w:sz="4"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第1次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0.011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0.015</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第2次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0.010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第3次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0.011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第4次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0.012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7420" w:type="dxa"/>
                  <w:gridSpan w:val="6"/>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第1次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0.010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0.015</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第2次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0.011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0.015</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第3次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0.012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0.014</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0.013</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hint="eastAsia" w:ascii="Times New Roman" w:cs="宋体"/>
                      <w:color w:val="auto"/>
                      <w:sz w:val="21"/>
                      <w:szCs w:val="21"/>
                    </w:rPr>
                  </w:pPr>
                  <w:r>
                    <w:rPr>
                      <w:rFonts w:hint="eastAsia" w:ascii="Times New Roman" w:cs="宋体"/>
                      <w:color w:val="auto"/>
                      <w:sz w:val="21"/>
                      <w:szCs w:val="21"/>
                    </w:rPr>
                    <w:t>第4次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 xml:space="preserve">0.013 </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0.016</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0.016</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0.016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doub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备注</w:t>
                  </w:r>
                </w:p>
              </w:tc>
              <w:tc>
                <w:tcPr>
                  <w:tcW w:w="7420" w:type="dxa"/>
                  <w:gridSpan w:val="6"/>
                  <w:tcBorders>
                    <w:top w:val="single" w:color="000000" w:sz="6" w:space="0"/>
                    <w:left w:val="single" w:color="auto" w:sz="4" w:space="0"/>
                    <w:bottom w:val="double" w:color="auto" w:sz="4" w:space="0"/>
                    <w:right w:val="nil"/>
                  </w:tcBorders>
                  <w:noWrap w:val="0"/>
                  <w:vAlign w:val="center"/>
                </w:tcPr>
                <w:p>
                  <w:pPr>
                    <w:tabs>
                      <w:tab w:val="left" w:pos="9795"/>
                    </w:tabs>
                    <w:jc w:val="center"/>
                    <w:rPr>
                      <w:rFonts w:hint="eastAsia" w:ascii="Times New Roman" w:cs="宋体"/>
                      <w:color w:val="auto"/>
                      <w:sz w:val="21"/>
                      <w:szCs w:val="21"/>
                    </w:rPr>
                  </w:pPr>
                  <w:r>
                    <w:rPr>
                      <w:rFonts w:hint="eastAsia" w:ascii="Times New Roman" w:cs="宋体"/>
                      <w:color w:val="auto"/>
                      <w:sz w:val="21"/>
                      <w:szCs w:val="21"/>
                    </w:rPr>
                    <w:t>/</w:t>
                  </w:r>
                </w:p>
              </w:tc>
            </w:tr>
          </w:tbl>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表7-</w:t>
            </w:r>
            <w:r>
              <w:rPr>
                <w:rFonts w:hint="eastAsia" w:ascii="Times New Roman" w:hAnsi="宋体" w:eastAsia="宋体"/>
                <w:color w:val="auto"/>
                <w:position w:val="0"/>
                <w:sz w:val="24"/>
                <w:szCs w:val="24"/>
                <w:lang w:val="en-US" w:eastAsia="zh-CN"/>
              </w:rPr>
              <w:t>4-4无</w:t>
            </w:r>
            <w:r>
              <w:rPr>
                <w:rFonts w:hint="default" w:ascii="Times New Roman" w:hAnsi="宋体" w:eastAsia="宋体"/>
                <w:color w:val="auto"/>
                <w:position w:val="0"/>
                <w:sz w:val="24"/>
                <w:szCs w:val="24"/>
              </w:rPr>
              <w:t>组织废气检测结果一览表</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38"/>
              <w:gridCol w:w="1529"/>
              <w:gridCol w:w="492"/>
              <w:gridCol w:w="1037"/>
              <w:gridCol w:w="992"/>
              <w:gridCol w:w="601"/>
              <w:gridCol w:w="18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866" w:type="dxa"/>
                  <w:tcBorders>
                    <w:top w:val="doub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检测类别</w:t>
                  </w:r>
                </w:p>
              </w:tc>
              <w:tc>
                <w:tcPr>
                  <w:tcW w:w="2473" w:type="dxa"/>
                  <w:gridSpan w:val="2"/>
                  <w:tcBorders>
                    <w:top w:val="doub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无组织废气</w:t>
                  </w:r>
                </w:p>
              </w:tc>
              <w:tc>
                <w:tcPr>
                  <w:tcW w:w="2474" w:type="dxa"/>
                  <w:gridSpan w:val="2"/>
                  <w:tcBorders>
                    <w:top w:val="double" w:color="auto" w:sz="4"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采样日期</w:t>
                  </w:r>
                </w:p>
              </w:tc>
              <w:tc>
                <w:tcPr>
                  <w:tcW w:w="2473" w:type="dxa"/>
                  <w:gridSpan w:val="2"/>
                  <w:tcBorders>
                    <w:top w:val="doub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检测项目</w:t>
                  </w:r>
                </w:p>
              </w:tc>
              <w:tc>
                <w:tcPr>
                  <w:tcW w:w="7420" w:type="dxa"/>
                  <w:gridSpan w:val="6"/>
                  <w:tcBorders>
                    <w:top w:val="single" w:color="auto" w:sz="4"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sz w:val="21"/>
                      <w:szCs w:val="21"/>
                    </w:rPr>
                    <w:t>臭气浓度</w:t>
                  </w:r>
                  <w:r>
                    <w:rPr>
                      <w:rFonts w:hint="eastAsia" w:ascii="Times New Roman" w:cs="宋体"/>
                      <w:sz w:val="21"/>
                      <w:szCs w:val="21"/>
                    </w:rPr>
                    <w:t>（无量纲）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采样点位</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上风向1#</w:t>
                  </w:r>
                </w:p>
              </w:tc>
              <w:tc>
                <w:tcPr>
                  <w:tcW w:w="1855" w:type="dxa"/>
                  <w:gridSpan w:val="2"/>
                  <w:tcBorders>
                    <w:top w:val="single" w:color="000000" w:sz="6" w:space="0"/>
                    <w:left w:val="single" w:color="auto" w:sz="4" w:space="0"/>
                    <w:bottom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下风向2#</w:t>
                  </w:r>
                </w:p>
              </w:tc>
              <w:tc>
                <w:tcPr>
                  <w:tcW w:w="1855" w:type="dxa"/>
                  <w:gridSpan w:val="2"/>
                  <w:tcBorders>
                    <w:top w:val="single" w:color="000000" w:sz="6" w:space="0"/>
                    <w:bottom w:val="sing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下风向3#</w:t>
                  </w:r>
                </w:p>
              </w:tc>
              <w:tc>
                <w:tcPr>
                  <w:tcW w:w="1855" w:type="dxa"/>
                  <w:tcBorders>
                    <w:top w:val="single" w:color="000000" w:sz="6" w:space="0"/>
                    <w:left w:val="single" w:color="auto" w:sz="4" w:space="0"/>
                    <w:bottom w:val="single" w:color="000000" w:sz="6" w:space="0"/>
                    <w:right w:val="nil"/>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下风向4#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auto" w:sz="4"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7420" w:type="dxa"/>
                  <w:gridSpan w:val="6"/>
                  <w:tcBorders>
                    <w:top w:val="single" w:color="auto" w:sz="4"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第1次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12</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17</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第2次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13</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14</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16</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第3次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11</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13</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第4次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13</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17</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日期</w:t>
                  </w:r>
                </w:p>
              </w:tc>
              <w:tc>
                <w:tcPr>
                  <w:tcW w:w="7420" w:type="dxa"/>
                  <w:gridSpan w:val="6"/>
                  <w:tcBorders>
                    <w:top w:val="single" w:color="000000" w:sz="6" w:space="0"/>
                    <w:left w:val="single" w:color="auto" w:sz="4" w:space="0"/>
                    <w:bottom w:val="single" w:color="000000" w:sz="6" w:space="0"/>
                    <w:right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第1次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12</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16</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第2次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11</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16</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14</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ascii="Times New Roman" w:cs="宋体"/>
                      <w:color w:val="auto"/>
                      <w:sz w:val="21"/>
                      <w:szCs w:val="21"/>
                    </w:rPr>
                  </w:pPr>
                  <w:r>
                    <w:rPr>
                      <w:rFonts w:hint="eastAsia" w:ascii="Times New Roman" w:cs="宋体"/>
                      <w:color w:val="auto"/>
                      <w:sz w:val="21"/>
                      <w:szCs w:val="21"/>
                    </w:rPr>
                    <w:t>第3次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13</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17</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single" w:color="000000" w:sz="6" w:space="0"/>
                    <w:right w:val="single" w:color="auto" w:sz="4" w:space="0"/>
                  </w:tcBorders>
                  <w:noWrap w:val="0"/>
                  <w:vAlign w:val="center"/>
                </w:tcPr>
                <w:p>
                  <w:pPr>
                    <w:adjustRightInd w:val="0"/>
                    <w:snapToGrid w:val="0"/>
                    <w:jc w:val="center"/>
                    <w:rPr>
                      <w:rFonts w:hint="eastAsia" w:ascii="Times New Roman" w:cs="宋体"/>
                      <w:color w:val="auto"/>
                      <w:sz w:val="21"/>
                      <w:szCs w:val="21"/>
                    </w:rPr>
                  </w:pPr>
                  <w:r>
                    <w:rPr>
                      <w:rFonts w:hint="eastAsia" w:ascii="Times New Roman" w:cs="宋体"/>
                      <w:color w:val="auto"/>
                      <w:sz w:val="21"/>
                      <w:szCs w:val="21"/>
                    </w:rPr>
                    <w:t>第4次</w:t>
                  </w:r>
                </w:p>
              </w:tc>
              <w:tc>
                <w:tcPr>
                  <w:tcW w:w="1855" w:type="dxa"/>
                  <w:tcBorders>
                    <w:top w:val="single" w:color="000000" w:sz="6" w:space="0"/>
                    <w:left w:val="single" w:color="auto" w:sz="4"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11</w:t>
                  </w:r>
                </w:p>
              </w:tc>
              <w:tc>
                <w:tcPr>
                  <w:tcW w:w="1855" w:type="dxa"/>
                  <w:gridSpan w:val="2"/>
                  <w:tcBorders>
                    <w:top w:val="single" w:color="000000" w:sz="6" w:space="0"/>
                    <w:left w:val="single" w:color="auto" w:sz="4" w:space="0"/>
                    <w:bottom w:val="single" w:color="000000" w:sz="6"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13</w:t>
                  </w:r>
                </w:p>
              </w:tc>
              <w:tc>
                <w:tcPr>
                  <w:tcW w:w="1855" w:type="dxa"/>
                  <w:gridSpan w:val="2"/>
                  <w:tcBorders>
                    <w:top w:val="single" w:color="000000" w:sz="6" w:space="0"/>
                    <w:bottom w:val="single" w:color="000000" w:sz="6" w:space="0"/>
                    <w:right w:val="single" w:color="auto" w:sz="4" w:space="0"/>
                  </w:tcBorders>
                  <w:noWrap w:val="0"/>
                  <w:vAlign w:val="center"/>
                </w:tcPr>
                <w:p>
                  <w:pPr>
                    <w:jc w:val="center"/>
                    <w:rPr>
                      <w:rFonts w:ascii="Times New Roman" w:cs="宋体"/>
                      <w:color w:val="auto"/>
                      <w:sz w:val="21"/>
                      <w:szCs w:val="21"/>
                    </w:rPr>
                  </w:pPr>
                  <w:r>
                    <w:rPr>
                      <w:rFonts w:hint="eastAsia" w:ascii="Times New Roman" w:cs="宋体"/>
                      <w:color w:val="auto"/>
                      <w:sz w:val="21"/>
                      <w:szCs w:val="21"/>
                    </w:rPr>
                    <w:t>15</w:t>
                  </w:r>
                </w:p>
              </w:tc>
              <w:tc>
                <w:tcPr>
                  <w:tcW w:w="1855" w:type="dxa"/>
                  <w:tcBorders>
                    <w:top w:val="single" w:color="000000" w:sz="6" w:space="0"/>
                    <w:left w:val="single" w:color="auto" w:sz="4" w:space="0"/>
                    <w:bottom w:val="single" w:color="000000" w:sz="6" w:space="0"/>
                    <w:right w:val="nil"/>
                  </w:tcBorders>
                  <w:noWrap w:val="0"/>
                  <w:vAlign w:val="center"/>
                </w:tcPr>
                <w:p>
                  <w:pPr>
                    <w:jc w:val="center"/>
                    <w:rPr>
                      <w:rFonts w:ascii="Times New Roman" w:cs="宋体"/>
                      <w:color w:val="auto"/>
                      <w:sz w:val="21"/>
                      <w:szCs w:val="21"/>
                    </w:rPr>
                  </w:pPr>
                  <w:r>
                    <w:rPr>
                      <w:rFonts w:hint="eastAsia" w:ascii="Times New Roman" w:cs="宋体"/>
                      <w:color w:val="auto"/>
                      <w:sz w:val="21"/>
                      <w:szCs w:val="21"/>
                    </w:rPr>
                    <w:t>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66" w:type="dxa"/>
                  <w:tcBorders>
                    <w:top w:val="single" w:color="000000" w:sz="6" w:space="0"/>
                    <w:left w:val="nil"/>
                    <w:bottom w:val="double" w:color="auto" w:sz="4" w:space="0"/>
                    <w:right w:val="single" w:color="auto" w:sz="4" w:space="0"/>
                  </w:tcBorders>
                  <w:noWrap w:val="0"/>
                  <w:vAlign w:val="center"/>
                </w:tcPr>
                <w:p>
                  <w:pPr>
                    <w:tabs>
                      <w:tab w:val="left" w:pos="9795"/>
                    </w:tabs>
                    <w:jc w:val="center"/>
                    <w:rPr>
                      <w:rFonts w:ascii="Times New Roman" w:cs="宋体"/>
                      <w:color w:val="auto"/>
                      <w:sz w:val="21"/>
                      <w:szCs w:val="21"/>
                    </w:rPr>
                  </w:pPr>
                  <w:r>
                    <w:rPr>
                      <w:rFonts w:hint="eastAsia" w:ascii="Times New Roman" w:cs="宋体"/>
                      <w:color w:val="auto"/>
                      <w:sz w:val="21"/>
                      <w:szCs w:val="21"/>
                    </w:rPr>
                    <w:t>备注</w:t>
                  </w:r>
                </w:p>
              </w:tc>
              <w:tc>
                <w:tcPr>
                  <w:tcW w:w="7420" w:type="dxa"/>
                  <w:gridSpan w:val="6"/>
                  <w:tcBorders>
                    <w:top w:val="single" w:color="000000" w:sz="6" w:space="0"/>
                    <w:left w:val="single" w:color="auto" w:sz="4" w:space="0"/>
                    <w:bottom w:val="double" w:color="auto" w:sz="4" w:space="0"/>
                    <w:right w:val="nil"/>
                  </w:tcBorders>
                  <w:noWrap w:val="0"/>
                  <w:vAlign w:val="center"/>
                </w:tcPr>
                <w:p>
                  <w:pPr>
                    <w:tabs>
                      <w:tab w:val="left" w:pos="9795"/>
                    </w:tabs>
                    <w:jc w:val="center"/>
                    <w:rPr>
                      <w:rFonts w:hint="eastAsia" w:ascii="Times New Roman" w:cs="宋体"/>
                      <w:color w:val="auto"/>
                      <w:sz w:val="21"/>
                      <w:szCs w:val="21"/>
                    </w:rPr>
                  </w:pPr>
                  <w:r>
                    <w:rPr>
                      <w:rFonts w:hint="eastAsia" w:ascii="Times New Roman" w:cs="宋体"/>
                      <w:color w:val="auto"/>
                      <w:sz w:val="21"/>
                      <w:szCs w:val="21"/>
                    </w:rPr>
                    <w:t>/</w:t>
                  </w:r>
                </w:p>
              </w:tc>
            </w:tr>
          </w:tbl>
          <w:p>
            <w:pPr>
              <w:jc w:val="both"/>
              <w:rPr>
                <w:rFonts w:hint="default"/>
                <w:lang w:val="en-US" w:eastAsia="zh-CN"/>
              </w:rPr>
            </w:pPr>
          </w:p>
        </w:tc>
      </w:tr>
    </w:tbl>
    <w:p>
      <w:pPr>
        <w:numPr>
          <w:ilvl w:val="0"/>
          <w:numId w:val="0"/>
        </w:numPr>
        <w:wordWrap w:val="0"/>
        <w:spacing w:before="0" w:after="0" w:line="240" w:lineRule="auto"/>
        <w:ind w:right="0" w:firstLine="0"/>
        <w:jc w:val="both"/>
        <w:rPr>
          <w:rFonts w:hint="default" w:ascii="宋体" w:hAnsi="宋体" w:eastAsia="宋体"/>
          <w:b w:val="0"/>
          <w:color w:val="auto"/>
          <w:position w:val="0"/>
          <w:sz w:val="24"/>
          <w:szCs w:val="24"/>
        </w:rPr>
        <w:sectPr>
          <w:pgSz w:w="11906" w:h="16838"/>
          <w:pgMar w:top="1440" w:right="1800" w:bottom="1440" w:left="1800" w:header="708" w:footer="708" w:gutter="0"/>
          <w:pgNumType w:fmt="numberInDash"/>
          <w:docGrid w:linePitch="360" w:charSpace="0"/>
        </w:sectPr>
      </w:pPr>
    </w:p>
    <w:tbl>
      <w:tblPr>
        <w:tblStyle w:val="34"/>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4" w:hRule="atLeast"/>
        </w:trPr>
        <w:tc>
          <w:tcPr>
            <w:tcW w:w="8920" w:type="dxa"/>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vertAlign w:val="baseline"/>
                <w:lang w:val="en-US" w:eastAsia="zh-CN"/>
              </w:rPr>
              <w:t xml:space="preserve">       </w:t>
            </w:r>
            <w:r>
              <w:rPr>
                <w:rFonts w:hint="default" w:ascii="Times New Roman" w:hAnsi="宋体" w:eastAsia="宋体"/>
                <w:color w:val="auto"/>
                <w:position w:val="0"/>
                <w:sz w:val="24"/>
                <w:szCs w:val="24"/>
              </w:rPr>
              <w:t>表7-</w:t>
            </w:r>
            <w:r>
              <w:rPr>
                <w:rFonts w:hint="eastAsia" w:ascii="Times New Roman" w:hAnsi="宋体" w:eastAsia="宋体"/>
                <w:color w:val="auto"/>
                <w:position w:val="0"/>
                <w:sz w:val="24"/>
                <w:szCs w:val="24"/>
                <w:lang w:val="en-US" w:eastAsia="zh-CN"/>
              </w:rPr>
              <w:t>5-1废水</w:t>
            </w:r>
            <w:r>
              <w:rPr>
                <w:rFonts w:hint="default" w:ascii="Times New Roman" w:hAnsi="宋体" w:eastAsia="宋体"/>
                <w:color w:val="auto"/>
                <w:position w:val="0"/>
                <w:sz w:val="24"/>
                <w:szCs w:val="24"/>
              </w:rPr>
              <w:t>检测结果一览表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804"/>
              <w:gridCol w:w="1466"/>
              <w:gridCol w:w="491"/>
              <w:gridCol w:w="975"/>
              <w:gridCol w:w="980"/>
              <w:gridCol w:w="486"/>
              <w:gridCol w:w="14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tblHeader/>
                <w:jc w:val="center"/>
              </w:trPr>
              <w:tc>
                <w:tcPr>
                  <w:tcW w:w="1617" w:type="pct"/>
                  <w:tcBorders>
                    <w:top w:val="double" w:color="auto" w:sz="4" w:space="0"/>
                    <w:left w:val="nil"/>
                    <w:bottom w:val="single" w:color="000000" w:sz="6" w:space="0"/>
                  </w:tcBorders>
                  <w:noWrap w:val="0"/>
                  <w:vAlign w:val="center"/>
                </w:tcPr>
                <w:p>
                  <w:pPr>
                    <w:tabs>
                      <w:tab w:val="left" w:pos="9795"/>
                    </w:tabs>
                    <w:jc w:val="center"/>
                    <w:rPr>
                      <w:rFonts w:ascii="Times New Roman"/>
                      <w:sz w:val="21"/>
                      <w:szCs w:val="21"/>
                    </w:rPr>
                  </w:pPr>
                  <w:r>
                    <w:rPr>
                      <w:rFonts w:ascii="Times New Roman" w:hAnsi="宋体"/>
                      <w:sz w:val="21"/>
                      <w:szCs w:val="21"/>
                    </w:rPr>
                    <w:t>检测类别</w:t>
                  </w:r>
                </w:p>
              </w:tc>
              <w:tc>
                <w:tcPr>
                  <w:tcW w:w="1128" w:type="pct"/>
                  <w:gridSpan w:val="2"/>
                  <w:tcBorders>
                    <w:top w:val="double" w:color="auto" w:sz="4" w:space="0"/>
                    <w:bottom w:val="single" w:color="000000" w:sz="6" w:space="0"/>
                  </w:tcBorders>
                  <w:noWrap w:val="0"/>
                  <w:vAlign w:val="center"/>
                </w:tcPr>
                <w:p>
                  <w:pPr>
                    <w:tabs>
                      <w:tab w:val="left" w:pos="9795"/>
                    </w:tabs>
                    <w:jc w:val="center"/>
                    <w:rPr>
                      <w:rFonts w:ascii="Times New Roman"/>
                      <w:sz w:val="21"/>
                      <w:szCs w:val="21"/>
                    </w:rPr>
                  </w:pPr>
                  <w:r>
                    <w:rPr>
                      <w:rFonts w:hint="eastAsia" w:ascii="Times New Roman" w:hAnsi="宋体"/>
                      <w:sz w:val="21"/>
                      <w:szCs w:val="21"/>
                    </w:rPr>
                    <w:t>污水</w:t>
                  </w:r>
                </w:p>
              </w:tc>
              <w:tc>
                <w:tcPr>
                  <w:tcW w:w="1127" w:type="pct"/>
                  <w:gridSpan w:val="2"/>
                  <w:tcBorders>
                    <w:top w:val="double" w:color="auto" w:sz="4" w:space="0"/>
                    <w:bottom w:val="single" w:color="000000"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采样地点</w:t>
                  </w:r>
                </w:p>
              </w:tc>
              <w:tc>
                <w:tcPr>
                  <w:tcW w:w="1126" w:type="pct"/>
                  <w:gridSpan w:val="2"/>
                  <w:tcBorders>
                    <w:top w:val="double" w:color="auto" w:sz="4" w:space="0"/>
                    <w:bottom w:val="single" w:color="000000" w:sz="6" w:space="0"/>
                    <w:right w:val="nil"/>
                  </w:tcBorders>
                  <w:noWrap w:val="0"/>
                  <w:vAlign w:val="center"/>
                </w:tcPr>
                <w:p>
                  <w:pPr>
                    <w:tabs>
                      <w:tab w:val="left" w:pos="9795"/>
                    </w:tabs>
                    <w:jc w:val="center"/>
                    <w:rPr>
                      <w:rFonts w:hint="eastAsia" w:ascii="Times New Roman" w:cs="宋体"/>
                      <w:sz w:val="21"/>
                      <w:szCs w:val="21"/>
                    </w:rPr>
                  </w:pPr>
                  <w:r>
                    <w:rPr>
                      <w:rFonts w:hint="eastAsia" w:cs="宋体"/>
                      <w:sz w:val="21"/>
                      <w:szCs w:val="21"/>
                    </w:rPr>
                    <w:t>生产废水出口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top w:val="single" w:color="000000" w:sz="6" w:space="0"/>
                    <w:left w:val="nil"/>
                  </w:tcBorders>
                  <w:noWrap w:val="0"/>
                  <w:vAlign w:val="center"/>
                </w:tcPr>
                <w:p>
                  <w:pPr>
                    <w:tabs>
                      <w:tab w:val="left" w:pos="9795"/>
                    </w:tabs>
                    <w:jc w:val="center"/>
                    <w:rPr>
                      <w:rFonts w:hint="eastAsia" w:ascii="Times New Roman"/>
                      <w:sz w:val="21"/>
                      <w:szCs w:val="21"/>
                    </w:rPr>
                  </w:pPr>
                  <w:r>
                    <w:rPr>
                      <w:rFonts w:hint="eastAsia" w:ascii="Times New Roman" w:hAnsi="宋体"/>
                      <w:sz w:val="21"/>
                      <w:szCs w:val="21"/>
                    </w:rPr>
                    <w:t>采样日期</w:t>
                  </w:r>
                </w:p>
              </w:tc>
              <w:tc>
                <w:tcPr>
                  <w:tcW w:w="3382" w:type="pct"/>
                  <w:gridSpan w:val="6"/>
                  <w:tcBorders>
                    <w:top w:val="single" w:color="000000" w:sz="6" w:space="0"/>
                    <w:right w:val="nil"/>
                  </w:tcBorders>
                  <w:noWrap w:val="0"/>
                  <w:vAlign w:val="center"/>
                </w:tcPr>
                <w:p>
                  <w:pPr>
                    <w:tabs>
                      <w:tab w:val="left" w:pos="9795"/>
                    </w:tabs>
                    <w:jc w:val="center"/>
                    <w:rPr>
                      <w:rFonts w:hint="eastAsia" w:ascii="Times New Roman"/>
                      <w:sz w:val="21"/>
                      <w:szCs w:val="21"/>
                    </w:rPr>
                  </w:pPr>
                  <w:r>
                    <w:rPr>
                      <w:rFonts w:hint="eastAsia" w:ascii="Times New Roman" w:cs="宋体"/>
                      <w:color w:val="auto"/>
                      <w:sz w:val="21"/>
                    </w:rPr>
                    <w:t>2019.11.25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tcBorders>
                  <w:noWrap w:val="0"/>
                  <w:vAlign w:val="center"/>
                </w:tcPr>
                <w:p>
                  <w:pPr>
                    <w:widowControl/>
                    <w:ind w:firstLine="1890" w:firstLineChars="900"/>
                    <w:rPr>
                      <w:rFonts w:hint="eastAsia" w:ascii="Times New Roman" w:cs="宋体"/>
                      <w:sz w:val="21"/>
                      <w:szCs w:val="21"/>
                    </w:rPr>
                  </w:pPr>
                  <w:r>
                    <w:rPr>
                      <w:rFonts w:hint="eastAsia" w:ascii="Times New Roman" w:hAnsi="宋体"/>
                      <w:sz w:val="21"/>
                      <w:szCs w:val="21"/>
                    </w:rPr>
                    <mc:AlternateContent>
                      <mc:Choice Requires="wps">
                        <w:drawing>
                          <wp:anchor distT="0" distB="0" distL="114300" distR="114300" simplePos="0" relativeHeight="251744256" behindDoc="0" locked="0" layoutInCell="1" allowOverlap="1">
                            <wp:simplePos x="0" y="0"/>
                            <wp:positionH relativeFrom="column">
                              <wp:posOffset>-71120</wp:posOffset>
                            </wp:positionH>
                            <wp:positionV relativeFrom="paragraph">
                              <wp:posOffset>6350</wp:posOffset>
                            </wp:positionV>
                            <wp:extent cx="1902460" cy="386080"/>
                            <wp:effectExtent l="635" t="4445" r="1905" b="9525"/>
                            <wp:wrapNone/>
                            <wp:docPr id="9" name="直接箭头连接符 9"/>
                            <wp:cNvGraphicFramePr/>
                            <a:graphic xmlns:a="http://schemas.openxmlformats.org/drawingml/2006/main">
                              <a:graphicData uri="http://schemas.microsoft.com/office/word/2010/wordprocessingShape">
                                <wps:wsp>
                                  <wps:cNvCnPr/>
                                  <wps:spPr>
                                    <a:xfrm>
                                      <a:off x="0" y="0"/>
                                      <a:ext cx="1902460" cy="3860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6pt;margin-top:0.5pt;height:30.4pt;width:149.8pt;z-index:251744256;mso-width-relative:page;mso-height-relative:page;" filled="f" stroked="t" coordsize="21600,21600" o:gfxdata="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qkqR/1gAA&#10;AAgBAAAPAAAAAAAAAAEAIAAAACIAAABkcnMvZG93bnJldi54bWxQSwECFAAUAAAACACHTuJAhQe7&#10;N+cBAACjAwAADgAAAAAAAAABACAAAAAlAQAAZHJzL2Uyb0RvYy54bWxQSwUGAAAAAAYABgBZAQAA&#10;fgUAAAAA&#10;">
                            <v:fill on="f" focussize="0,0"/>
                            <v:stroke color="#000000" joinstyle="round"/>
                            <v:imagedata o:title=""/>
                            <o:lock v:ext="edit" aspectratio="f"/>
                          </v:shape>
                        </w:pict>
                      </mc:Fallback>
                    </mc:AlternateContent>
                  </w:r>
                  <w:r>
                    <w:rPr>
                      <w:rFonts w:hint="eastAsia" w:ascii="Times New Roman" w:cs="宋体"/>
                      <w:sz w:val="21"/>
                      <w:szCs w:val="21"/>
                    </w:rPr>
                    <w:t>检测频次</w:t>
                  </w:r>
                </w:p>
                <w:p>
                  <w:pPr>
                    <w:widowControl/>
                    <w:ind w:firstLine="210" w:firstLineChars="100"/>
                    <w:rPr>
                      <w:rFonts w:ascii="Times New Roman"/>
                      <w:sz w:val="21"/>
                      <w:szCs w:val="21"/>
                    </w:rPr>
                  </w:pPr>
                  <w:r>
                    <w:rPr>
                      <w:rFonts w:hint="eastAsia" w:ascii="Times New Roman" w:cs="宋体"/>
                      <w:sz w:val="21"/>
                      <w:szCs w:val="21"/>
                    </w:rPr>
                    <w:t>检测项目</w:t>
                  </w:r>
                </w:p>
              </w:tc>
              <w:tc>
                <w:tcPr>
                  <w:tcW w:w="845" w:type="pct"/>
                  <w:noWrap w:val="0"/>
                  <w:vAlign w:val="center"/>
                </w:tcPr>
                <w:p>
                  <w:pPr>
                    <w:tabs>
                      <w:tab w:val="left" w:pos="9795"/>
                    </w:tabs>
                    <w:jc w:val="center"/>
                    <w:rPr>
                      <w:rFonts w:ascii="Times New Roman"/>
                      <w:sz w:val="21"/>
                      <w:szCs w:val="21"/>
                    </w:rPr>
                  </w:pPr>
                  <w:r>
                    <w:rPr>
                      <w:rFonts w:hint="eastAsia" w:ascii="Times New Roman" w:cs="宋体"/>
                      <w:sz w:val="21"/>
                      <w:szCs w:val="21"/>
                    </w:rPr>
                    <w:t>第1次</w:t>
                  </w:r>
                </w:p>
              </w:tc>
              <w:tc>
                <w:tcPr>
                  <w:tcW w:w="845" w:type="pct"/>
                  <w:gridSpan w:val="2"/>
                  <w:noWrap w:val="0"/>
                  <w:vAlign w:val="center"/>
                </w:tcPr>
                <w:p>
                  <w:pPr>
                    <w:tabs>
                      <w:tab w:val="left" w:pos="9795"/>
                    </w:tabs>
                    <w:jc w:val="center"/>
                    <w:rPr>
                      <w:rFonts w:ascii="Times New Roman"/>
                      <w:sz w:val="21"/>
                      <w:szCs w:val="21"/>
                    </w:rPr>
                  </w:pPr>
                  <w:r>
                    <w:rPr>
                      <w:rFonts w:hint="eastAsia" w:ascii="Times New Roman" w:cs="宋体"/>
                      <w:sz w:val="21"/>
                      <w:szCs w:val="21"/>
                    </w:rPr>
                    <w:t>第2次</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第3次</w:t>
                  </w:r>
                </w:p>
              </w:tc>
              <w:tc>
                <w:tcPr>
                  <w:tcW w:w="844" w:type="pct"/>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第4次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tcBorders>
                  <w:noWrap w:val="0"/>
                  <w:vAlign w:val="center"/>
                </w:tcPr>
                <w:p>
                  <w:pPr>
                    <w:tabs>
                      <w:tab w:val="left" w:pos="9795"/>
                    </w:tabs>
                    <w:jc w:val="center"/>
                    <w:rPr>
                      <w:rFonts w:hint="eastAsia" w:ascii="Times New Roman"/>
                      <w:sz w:val="21"/>
                      <w:szCs w:val="21"/>
                    </w:rPr>
                  </w:pPr>
                  <w:r>
                    <w:rPr>
                      <w:rFonts w:hint="eastAsia" w:ascii="Times New Roman"/>
                      <w:color w:val="auto"/>
                      <w:sz w:val="21"/>
                      <w:szCs w:val="21"/>
                    </w:rPr>
                    <w:t>化学需氧量（</w:t>
                  </w:r>
                  <w:r>
                    <w:rPr>
                      <w:rFonts w:ascii="Times New Roman"/>
                      <w:sz w:val="21"/>
                      <w:szCs w:val="21"/>
                    </w:rPr>
                    <w:t>mg/L</w:t>
                  </w:r>
                  <w:r>
                    <w:rPr>
                      <w:rFonts w:hint="eastAsia" w:ascii="Times New Roman"/>
                      <w:color w:val="auto"/>
                      <w:sz w:val="21"/>
                      <w:szCs w:val="21"/>
                    </w:rPr>
                    <w:t>）</w:t>
                  </w:r>
                </w:p>
              </w:tc>
              <w:tc>
                <w:tcPr>
                  <w:tcW w:w="845" w:type="pct"/>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70</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74</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73</w:t>
                  </w:r>
                </w:p>
              </w:tc>
              <w:tc>
                <w:tcPr>
                  <w:tcW w:w="844" w:type="pct"/>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tcBorders>
                  <w:noWrap w:val="0"/>
                  <w:vAlign w:val="center"/>
                </w:tcPr>
                <w:p>
                  <w:pPr>
                    <w:tabs>
                      <w:tab w:val="left" w:pos="9795"/>
                    </w:tabs>
                    <w:jc w:val="center"/>
                    <w:rPr>
                      <w:rFonts w:hint="eastAsia" w:ascii="Times New Roman" w:hAnsi="宋体"/>
                      <w:sz w:val="21"/>
                      <w:szCs w:val="21"/>
                    </w:rPr>
                  </w:pPr>
                  <w:r>
                    <w:rPr>
                      <w:rFonts w:hint="eastAsia" w:ascii="Times New Roman"/>
                      <w:color w:val="auto"/>
                      <w:sz w:val="21"/>
                      <w:szCs w:val="21"/>
                    </w:rPr>
                    <w:t>氨氮（</w:t>
                  </w:r>
                  <w:r>
                    <w:rPr>
                      <w:rFonts w:ascii="Times New Roman"/>
                      <w:sz w:val="21"/>
                      <w:szCs w:val="21"/>
                    </w:rPr>
                    <w:t>mg/L</w:t>
                  </w:r>
                  <w:r>
                    <w:rPr>
                      <w:rFonts w:hint="eastAsia" w:ascii="Times New Roman"/>
                      <w:color w:val="auto"/>
                      <w:sz w:val="21"/>
                      <w:szCs w:val="21"/>
                    </w:rPr>
                    <w:t>）</w:t>
                  </w:r>
                </w:p>
              </w:tc>
              <w:tc>
                <w:tcPr>
                  <w:tcW w:w="845" w:type="pct"/>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13.6</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12.8</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14.1</w:t>
                  </w:r>
                </w:p>
              </w:tc>
              <w:tc>
                <w:tcPr>
                  <w:tcW w:w="844" w:type="pct"/>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13.2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tcBorders>
                  <w:noWrap w:val="0"/>
                  <w:vAlign w:val="center"/>
                </w:tcPr>
                <w:p>
                  <w:pPr>
                    <w:jc w:val="center"/>
                    <w:rPr>
                      <w:rFonts w:hint="eastAsia" w:ascii="Times New Roman" w:hAnsi="宋体"/>
                      <w:sz w:val="21"/>
                      <w:szCs w:val="21"/>
                    </w:rPr>
                  </w:pPr>
                  <w:r>
                    <w:rPr>
                      <w:rFonts w:ascii="Times New Roman"/>
                      <w:sz w:val="21"/>
                      <w:szCs w:val="21"/>
                    </w:rPr>
                    <w:t>悬浮物</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845" w:type="pct"/>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6</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5</w:t>
                  </w:r>
                </w:p>
              </w:tc>
              <w:tc>
                <w:tcPr>
                  <w:tcW w:w="845" w:type="pct"/>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5</w:t>
                  </w:r>
                </w:p>
              </w:tc>
              <w:tc>
                <w:tcPr>
                  <w:tcW w:w="844" w:type="pct"/>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bottom w:val="single" w:color="auto" w:sz="6" w:space="0"/>
                  </w:tcBorders>
                  <w:noWrap w:val="0"/>
                  <w:vAlign w:val="center"/>
                </w:tcPr>
                <w:p>
                  <w:pPr>
                    <w:jc w:val="center"/>
                    <w:rPr>
                      <w:rFonts w:hint="eastAsia" w:ascii="Times New Roman" w:hAnsi="宋体"/>
                      <w:sz w:val="21"/>
                      <w:szCs w:val="21"/>
                    </w:rPr>
                  </w:pPr>
                  <w:r>
                    <w:rPr>
                      <w:rFonts w:ascii="Times New Roman"/>
                      <w:sz w:val="21"/>
                      <w:szCs w:val="21"/>
                    </w:rPr>
                    <w:t>五日生化需氧量</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845" w:type="pct"/>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15.6</w:t>
                  </w:r>
                </w:p>
              </w:tc>
              <w:tc>
                <w:tcPr>
                  <w:tcW w:w="845" w:type="pct"/>
                  <w:gridSpan w:val="2"/>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18.2</w:t>
                  </w:r>
                </w:p>
              </w:tc>
              <w:tc>
                <w:tcPr>
                  <w:tcW w:w="845" w:type="pct"/>
                  <w:gridSpan w:val="2"/>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17.2</w:t>
                  </w:r>
                </w:p>
              </w:tc>
              <w:tc>
                <w:tcPr>
                  <w:tcW w:w="844" w:type="pct"/>
                  <w:tcBorders>
                    <w:bottom w:val="single" w:color="auto" w:sz="6" w:space="0"/>
                    <w:right w:val="nil"/>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bottom w:val="single" w:color="auto" w:sz="6" w:space="0"/>
                  </w:tcBorders>
                  <w:noWrap w:val="0"/>
                  <w:vAlign w:val="center"/>
                </w:tcPr>
                <w:p>
                  <w:pPr>
                    <w:jc w:val="center"/>
                    <w:rPr>
                      <w:rFonts w:ascii="Times New Roman"/>
                      <w:sz w:val="21"/>
                      <w:szCs w:val="21"/>
                    </w:rPr>
                  </w:pPr>
                  <w:r>
                    <w:rPr>
                      <w:rFonts w:hint="eastAsia" w:ascii="Times New Roman"/>
                      <w:sz w:val="21"/>
                      <w:szCs w:val="21"/>
                    </w:rPr>
                    <w:t>pH值</w:t>
                  </w:r>
                  <w:r>
                    <w:rPr>
                      <w:rFonts w:hint="eastAsia" w:ascii="Times New Roman"/>
                      <w:color w:val="auto"/>
                      <w:sz w:val="21"/>
                      <w:szCs w:val="21"/>
                    </w:rPr>
                    <w:t>（</w:t>
                  </w:r>
                  <w:r>
                    <w:rPr>
                      <w:rFonts w:hint="eastAsia" w:ascii="Times New Roman"/>
                      <w:sz w:val="21"/>
                      <w:szCs w:val="21"/>
                    </w:rPr>
                    <w:t>无量纲</w:t>
                  </w:r>
                  <w:r>
                    <w:rPr>
                      <w:rFonts w:hint="eastAsia" w:ascii="Times New Roman"/>
                      <w:color w:val="auto"/>
                      <w:sz w:val="21"/>
                      <w:szCs w:val="21"/>
                    </w:rPr>
                    <w:t>）</w:t>
                  </w:r>
                </w:p>
              </w:tc>
              <w:tc>
                <w:tcPr>
                  <w:tcW w:w="845" w:type="pct"/>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7.71</w:t>
                  </w:r>
                </w:p>
              </w:tc>
              <w:tc>
                <w:tcPr>
                  <w:tcW w:w="845" w:type="pct"/>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7.66</w:t>
                  </w:r>
                </w:p>
              </w:tc>
              <w:tc>
                <w:tcPr>
                  <w:tcW w:w="845" w:type="pct"/>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7.75</w:t>
                  </w:r>
                </w:p>
              </w:tc>
              <w:tc>
                <w:tcPr>
                  <w:tcW w:w="844" w:type="pct"/>
                  <w:tcBorders>
                    <w:bottom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bottom w:val="single" w:color="auto" w:sz="6" w:space="0"/>
                  </w:tcBorders>
                  <w:noWrap w:val="0"/>
                  <w:vAlign w:val="center"/>
                </w:tcPr>
                <w:p>
                  <w:pPr>
                    <w:jc w:val="center"/>
                    <w:rPr>
                      <w:rFonts w:ascii="Times New Roman"/>
                      <w:sz w:val="21"/>
                      <w:szCs w:val="21"/>
                    </w:rPr>
                  </w:pPr>
                  <w:r>
                    <w:rPr>
                      <w:rFonts w:hint="eastAsia" w:ascii="Times New Roman"/>
                      <w:sz w:val="21"/>
                      <w:szCs w:val="21"/>
                    </w:rPr>
                    <w:t>阴离子表面活性剂</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845" w:type="pct"/>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ND</w:t>
                  </w:r>
                </w:p>
              </w:tc>
              <w:tc>
                <w:tcPr>
                  <w:tcW w:w="845" w:type="pct"/>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c>
                <w:tcPr>
                  <w:tcW w:w="845" w:type="pct"/>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c>
                <w:tcPr>
                  <w:tcW w:w="844" w:type="pct"/>
                  <w:tcBorders>
                    <w:bottom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617" w:type="pct"/>
                  <w:tcBorders>
                    <w:left w:val="nil"/>
                    <w:bottom w:val="single" w:color="auto" w:sz="6" w:space="0"/>
                  </w:tcBorders>
                  <w:noWrap w:val="0"/>
                  <w:vAlign w:val="center"/>
                </w:tcPr>
                <w:p>
                  <w:pPr>
                    <w:jc w:val="center"/>
                    <w:rPr>
                      <w:rFonts w:ascii="Times New Roman"/>
                      <w:sz w:val="21"/>
                      <w:szCs w:val="21"/>
                    </w:rPr>
                  </w:pPr>
                  <w:r>
                    <w:rPr>
                      <w:rFonts w:hint="eastAsia" w:ascii="Times New Roman"/>
                      <w:sz w:val="21"/>
                      <w:szCs w:val="21"/>
                    </w:rPr>
                    <w:t>总磷</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845" w:type="pct"/>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0.08</w:t>
                  </w:r>
                </w:p>
              </w:tc>
              <w:tc>
                <w:tcPr>
                  <w:tcW w:w="845" w:type="pct"/>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0.07</w:t>
                  </w:r>
                </w:p>
              </w:tc>
              <w:tc>
                <w:tcPr>
                  <w:tcW w:w="845" w:type="pct"/>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0.08</w:t>
                  </w:r>
                </w:p>
              </w:tc>
              <w:tc>
                <w:tcPr>
                  <w:tcW w:w="844" w:type="pct"/>
                  <w:tcBorders>
                    <w:bottom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617" w:type="pct"/>
                  <w:tcBorders>
                    <w:top w:val="single" w:color="auto" w:sz="6" w:space="0"/>
                    <w:left w:val="nil"/>
                    <w:bottom w:val="double" w:color="auto" w:sz="4" w:space="0"/>
                  </w:tcBorders>
                  <w:noWrap w:val="0"/>
                  <w:vAlign w:val="center"/>
                </w:tcPr>
                <w:p>
                  <w:pPr>
                    <w:tabs>
                      <w:tab w:val="left" w:pos="9795"/>
                    </w:tabs>
                    <w:jc w:val="center"/>
                    <w:rPr>
                      <w:rFonts w:ascii="Times New Roman"/>
                      <w:sz w:val="21"/>
                      <w:szCs w:val="21"/>
                    </w:rPr>
                  </w:pPr>
                  <w:r>
                    <w:rPr>
                      <w:rFonts w:hint="eastAsia" w:ascii="Times New Roman" w:hAnsi="宋体"/>
                      <w:sz w:val="21"/>
                      <w:szCs w:val="21"/>
                    </w:rPr>
                    <w:t>备注</w:t>
                  </w:r>
                </w:p>
              </w:tc>
              <w:tc>
                <w:tcPr>
                  <w:tcW w:w="3382" w:type="pct"/>
                  <w:gridSpan w:val="6"/>
                  <w:tcBorders>
                    <w:top w:val="single" w:color="auto" w:sz="6" w:space="0"/>
                    <w:bottom w:val="double" w:color="auto" w:sz="4"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ND表示未检出</w:t>
                  </w:r>
                </w:p>
              </w:tc>
            </w:tr>
          </w:tbl>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vertAlign w:val="baseline"/>
                <w:lang w:val="en-US" w:eastAsia="zh-CN"/>
              </w:rPr>
              <w:t xml:space="preserve"> </w:t>
            </w:r>
            <w:r>
              <w:rPr>
                <w:rFonts w:hint="default" w:ascii="Times New Roman" w:hAnsi="宋体" w:eastAsia="宋体"/>
                <w:color w:val="auto"/>
                <w:position w:val="0"/>
                <w:sz w:val="24"/>
                <w:szCs w:val="24"/>
              </w:rPr>
              <w:t>表7-</w:t>
            </w:r>
            <w:r>
              <w:rPr>
                <w:rFonts w:hint="eastAsia" w:ascii="Times New Roman" w:hAnsi="宋体" w:eastAsia="宋体"/>
                <w:color w:val="auto"/>
                <w:position w:val="0"/>
                <w:sz w:val="24"/>
                <w:szCs w:val="24"/>
                <w:lang w:val="en-US" w:eastAsia="zh-CN"/>
              </w:rPr>
              <w:t>5-2废水</w:t>
            </w:r>
            <w:r>
              <w:rPr>
                <w:rFonts w:hint="default" w:ascii="Times New Roman" w:hAnsi="宋体" w:eastAsia="宋体"/>
                <w:color w:val="auto"/>
                <w:position w:val="0"/>
                <w:sz w:val="24"/>
                <w:szCs w:val="24"/>
              </w:rPr>
              <w:t>检测结果一览表</w:t>
            </w:r>
          </w:p>
          <w:p>
            <w:pPr>
              <w:pStyle w:val="2"/>
              <w:jc w:val="both"/>
              <w:rPr>
                <w:rFonts w:hint="default"/>
              </w:rPr>
            </w:pP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900"/>
              <w:gridCol w:w="1444"/>
              <w:gridCol w:w="473"/>
              <w:gridCol w:w="971"/>
              <w:gridCol w:w="976"/>
              <w:gridCol w:w="468"/>
              <w:gridCol w:w="14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tblHeader/>
                <w:jc w:val="center"/>
              </w:trPr>
              <w:tc>
                <w:tcPr>
                  <w:tcW w:w="3004" w:type="dxa"/>
                  <w:tcBorders>
                    <w:top w:val="double" w:color="auto" w:sz="4" w:space="0"/>
                    <w:left w:val="nil"/>
                    <w:bottom w:val="single" w:color="000000" w:sz="6" w:space="0"/>
                  </w:tcBorders>
                  <w:noWrap w:val="0"/>
                  <w:vAlign w:val="center"/>
                </w:tcPr>
                <w:p>
                  <w:pPr>
                    <w:tabs>
                      <w:tab w:val="left" w:pos="9795"/>
                    </w:tabs>
                    <w:jc w:val="center"/>
                    <w:rPr>
                      <w:rFonts w:ascii="Times New Roman"/>
                      <w:sz w:val="21"/>
                      <w:szCs w:val="21"/>
                    </w:rPr>
                  </w:pPr>
                  <w:r>
                    <w:rPr>
                      <w:rFonts w:ascii="Times New Roman" w:hAnsi="宋体"/>
                      <w:sz w:val="21"/>
                      <w:szCs w:val="21"/>
                    </w:rPr>
                    <w:t>检测类别</w:t>
                  </w:r>
                </w:p>
              </w:tc>
              <w:tc>
                <w:tcPr>
                  <w:tcW w:w="2095" w:type="dxa"/>
                  <w:gridSpan w:val="2"/>
                  <w:tcBorders>
                    <w:top w:val="double" w:color="auto" w:sz="4" w:space="0"/>
                    <w:bottom w:val="single" w:color="000000" w:sz="6" w:space="0"/>
                  </w:tcBorders>
                  <w:noWrap w:val="0"/>
                  <w:vAlign w:val="center"/>
                </w:tcPr>
                <w:p>
                  <w:pPr>
                    <w:tabs>
                      <w:tab w:val="left" w:pos="9795"/>
                    </w:tabs>
                    <w:jc w:val="center"/>
                    <w:rPr>
                      <w:rFonts w:ascii="Times New Roman"/>
                      <w:sz w:val="21"/>
                      <w:szCs w:val="21"/>
                    </w:rPr>
                  </w:pPr>
                  <w:r>
                    <w:rPr>
                      <w:rFonts w:hint="eastAsia" w:ascii="Times New Roman" w:hAnsi="宋体"/>
                      <w:sz w:val="21"/>
                      <w:szCs w:val="21"/>
                    </w:rPr>
                    <w:t>污水</w:t>
                  </w:r>
                </w:p>
              </w:tc>
              <w:tc>
                <w:tcPr>
                  <w:tcW w:w="2094" w:type="dxa"/>
                  <w:gridSpan w:val="2"/>
                  <w:tcBorders>
                    <w:top w:val="double" w:color="auto" w:sz="4" w:space="0"/>
                    <w:bottom w:val="single" w:color="000000"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采样地点</w:t>
                  </w:r>
                </w:p>
              </w:tc>
              <w:tc>
                <w:tcPr>
                  <w:tcW w:w="2093" w:type="dxa"/>
                  <w:gridSpan w:val="2"/>
                  <w:tcBorders>
                    <w:top w:val="double" w:color="auto" w:sz="4" w:space="0"/>
                    <w:bottom w:val="single" w:color="000000" w:sz="6" w:space="0"/>
                    <w:right w:val="nil"/>
                  </w:tcBorders>
                  <w:noWrap w:val="0"/>
                  <w:vAlign w:val="center"/>
                </w:tcPr>
                <w:p>
                  <w:pPr>
                    <w:tabs>
                      <w:tab w:val="left" w:pos="9795"/>
                    </w:tabs>
                    <w:jc w:val="center"/>
                    <w:rPr>
                      <w:rFonts w:hint="eastAsia" w:ascii="Times New Roman" w:cs="宋体"/>
                      <w:sz w:val="21"/>
                      <w:szCs w:val="21"/>
                    </w:rPr>
                  </w:pPr>
                  <w:r>
                    <w:rPr>
                      <w:rFonts w:hint="eastAsia" w:cs="宋体"/>
                      <w:sz w:val="21"/>
                      <w:szCs w:val="21"/>
                    </w:rPr>
                    <w:t>生产废水出口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top w:val="single" w:color="000000" w:sz="6" w:space="0"/>
                    <w:left w:val="nil"/>
                  </w:tcBorders>
                  <w:noWrap w:val="0"/>
                  <w:vAlign w:val="center"/>
                </w:tcPr>
                <w:p>
                  <w:pPr>
                    <w:tabs>
                      <w:tab w:val="left" w:pos="9795"/>
                    </w:tabs>
                    <w:jc w:val="center"/>
                    <w:rPr>
                      <w:rFonts w:hint="eastAsia" w:ascii="Times New Roman"/>
                      <w:sz w:val="21"/>
                      <w:szCs w:val="21"/>
                    </w:rPr>
                  </w:pPr>
                  <w:r>
                    <w:rPr>
                      <w:rFonts w:hint="eastAsia" w:ascii="Times New Roman" w:hAnsi="宋体"/>
                      <w:sz w:val="21"/>
                      <w:szCs w:val="21"/>
                    </w:rPr>
                    <w:t>采样日期</w:t>
                  </w:r>
                </w:p>
              </w:tc>
              <w:tc>
                <w:tcPr>
                  <w:tcW w:w="6282" w:type="dxa"/>
                  <w:gridSpan w:val="6"/>
                  <w:tcBorders>
                    <w:top w:val="single" w:color="000000" w:sz="6" w:space="0"/>
                    <w:right w:val="nil"/>
                  </w:tcBorders>
                  <w:noWrap w:val="0"/>
                  <w:vAlign w:val="center"/>
                </w:tcPr>
                <w:p>
                  <w:pPr>
                    <w:tabs>
                      <w:tab w:val="left" w:pos="9795"/>
                    </w:tabs>
                    <w:jc w:val="center"/>
                    <w:rPr>
                      <w:rFonts w:hint="eastAsia" w:ascii="Times New Roman"/>
                      <w:sz w:val="21"/>
                      <w:szCs w:val="21"/>
                    </w:rPr>
                  </w:pPr>
                  <w:r>
                    <w:rPr>
                      <w:rFonts w:hint="eastAsia" w:ascii="Times New Roman" w:cs="宋体"/>
                      <w:color w:val="auto"/>
                      <w:sz w:val="21"/>
                    </w:rPr>
                    <w:t>2019.11.26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tcBorders>
                  <w:noWrap w:val="0"/>
                  <w:vAlign w:val="center"/>
                </w:tcPr>
                <w:p>
                  <w:pPr>
                    <w:widowControl/>
                    <w:ind w:firstLine="1890" w:firstLineChars="900"/>
                    <w:rPr>
                      <w:rFonts w:hint="eastAsia" w:ascii="Times New Roman" w:cs="宋体"/>
                      <w:sz w:val="21"/>
                      <w:szCs w:val="21"/>
                    </w:rPr>
                  </w:pPr>
                  <w:r>
                    <w:rPr>
                      <w:rFonts w:hint="eastAsia" w:ascii="Times New Roman" w:hAnsi="宋体"/>
                      <w:sz w:val="21"/>
                      <w:szCs w:val="21"/>
                    </w:rPr>
                    <mc:AlternateContent>
                      <mc:Choice Requires="wps">
                        <w:drawing>
                          <wp:anchor distT="0" distB="0" distL="114300" distR="114300" simplePos="0" relativeHeight="251755520" behindDoc="0" locked="0" layoutInCell="1" allowOverlap="1">
                            <wp:simplePos x="0" y="0"/>
                            <wp:positionH relativeFrom="column">
                              <wp:posOffset>-71120</wp:posOffset>
                            </wp:positionH>
                            <wp:positionV relativeFrom="paragraph">
                              <wp:posOffset>6350</wp:posOffset>
                            </wp:positionV>
                            <wp:extent cx="1902460" cy="386080"/>
                            <wp:effectExtent l="635" t="4445" r="1905" b="9525"/>
                            <wp:wrapNone/>
                            <wp:docPr id="11" name="直接箭头连接符 11"/>
                            <wp:cNvGraphicFramePr/>
                            <a:graphic xmlns:a="http://schemas.openxmlformats.org/drawingml/2006/main">
                              <a:graphicData uri="http://schemas.microsoft.com/office/word/2010/wordprocessingShape">
                                <wps:wsp>
                                  <wps:cNvCnPr/>
                                  <wps:spPr>
                                    <a:xfrm>
                                      <a:off x="0" y="0"/>
                                      <a:ext cx="1902460" cy="3860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6pt;margin-top:0.5pt;height:30.4pt;width:149.8pt;z-index:251755520;mso-width-relative:page;mso-height-relative:page;" filled="f" stroked="t" coordsize="21600,21600" o:gfxdata="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kqR/&#10;1gAAAAgBAAAPAAAAAAAAAAEAIAAAACIAAABkcnMvZG93bnJldi54bWxQSwECFAAUAAAACACHTuJA&#10;WsMUSeoBAAClAwAADgAAAAAAAAABACAAAAAlAQAAZHJzL2Uyb0RvYy54bWxQSwUGAAAAAAYABgBZ&#10;AQAAgQUAAAAA&#10;">
                            <v:fill on="f" focussize="0,0"/>
                            <v:stroke color="#000000" joinstyle="round"/>
                            <v:imagedata o:title=""/>
                            <o:lock v:ext="edit" aspectratio="f"/>
                          </v:shape>
                        </w:pict>
                      </mc:Fallback>
                    </mc:AlternateContent>
                  </w:r>
                  <w:r>
                    <w:rPr>
                      <w:rFonts w:hint="eastAsia" w:ascii="Times New Roman" w:cs="宋体"/>
                      <w:sz w:val="21"/>
                      <w:szCs w:val="21"/>
                    </w:rPr>
                    <w:t>检测频次</w:t>
                  </w:r>
                </w:p>
                <w:p>
                  <w:pPr>
                    <w:widowControl/>
                    <w:ind w:firstLine="210" w:firstLineChars="100"/>
                    <w:rPr>
                      <w:rFonts w:ascii="Times New Roman"/>
                      <w:sz w:val="21"/>
                      <w:szCs w:val="21"/>
                    </w:rPr>
                  </w:pPr>
                  <w:r>
                    <w:rPr>
                      <w:rFonts w:hint="eastAsia" w:ascii="Times New Roman" w:cs="宋体"/>
                      <w:sz w:val="21"/>
                      <w:szCs w:val="21"/>
                    </w:rPr>
                    <w:t>检测项目</w:t>
                  </w:r>
                </w:p>
              </w:tc>
              <w:tc>
                <w:tcPr>
                  <w:tcW w:w="1571" w:type="dxa"/>
                  <w:noWrap w:val="0"/>
                  <w:vAlign w:val="center"/>
                </w:tcPr>
                <w:p>
                  <w:pPr>
                    <w:tabs>
                      <w:tab w:val="left" w:pos="9795"/>
                    </w:tabs>
                    <w:jc w:val="center"/>
                    <w:rPr>
                      <w:rFonts w:ascii="Times New Roman"/>
                      <w:sz w:val="21"/>
                      <w:szCs w:val="21"/>
                    </w:rPr>
                  </w:pPr>
                  <w:r>
                    <w:rPr>
                      <w:rFonts w:hint="eastAsia" w:ascii="Times New Roman" w:cs="宋体"/>
                      <w:sz w:val="21"/>
                      <w:szCs w:val="21"/>
                    </w:rPr>
                    <w:t>第1次</w:t>
                  </w:r>
                </w:p>
              </w:tc>
              <w:tc>
                <w:tcPr>
                  <w:tcW w:w="1571" w:type="dxa"/>
                  <w:gridSpan w:val="2"/>
                  <w:noWrap w:val="0"/>
                  <w:vAlign w:val="center"/>
                </w:tcPr>
                <w:p>
                  <w:pPr>
                    <w:tabs>
                      <w:tab w:val="left" w:pos="9795"/>
                    </w:tabs>
                    <w:jc w:val="center"/>
                    <w:rPr>
                      <w:rFonts w:ascii="Times New Roman"/>
                      <w:sz w:val="21"/>
                      <w:szCs w:val="21"/>
                    </w:rPr>
                  </w:pPr>
                  <w:r>
                    <w:rPr>
                      <w:rFonts w:hint="eastAsia" w:ascii="Times New Roman" w:cs="宋体"/>
                      <w:sz w:val="21"/>
                      <w:szCs w:val="21"/>
                    </w:rPr>
                    <w:t>第2次</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第3次</w:t>
                  </w:r>
                </w:p>
              </w:tc>
              <w:tc>
                <w:tcPr>
                  <w:tcW w:w="1569" w:type="dxa"/>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第4次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tcBorders>
                  <w:noWrap w:val="0"/>
                  <w:vAlign w:val="center"/>
                </w:tcPr>
                <w:p>
                  <w:pPr>
                    <w:tabs>
                      <w:tab w:val="left" w:pos="9795"/>
                    </w:tabs>
                    <w:jc w:val="center"/>
                    <w:rPr>
                      <w:rFonts w:hint="eastAsia" w:ascii="Times New Roman"/>
                      <w:sz w:val="21"/>
                      <w:szCs w:val="21"/>
                    </w:rPr>
                  </w:pPr>
                  <w:r>
                    <w:rPr>
                      <w:rFonts w:hint="eastAsia" w:ascii="Times New Roman"/>
                      <w:color w:val="auto"/>
                      <w:sz w:val="21"/>
                      <w:szCs w:val="21"/>
                    </w:rPr>
                    <w:t>化学需氧量（</w:t>
                  </w:r>
                  <w:r>
                    <w:rPr>
                      <w:rFonts w:ascii="Times New Roman"/>
                      <w:sz w:val="21"/>
                      <w:szCs w:val="21"/>
                    </w:rPr>
                    <w:t>mg/L</w:t>
                  </w:r>
                  <w:r>
                    <w:rPr>
                      <w:rFonts w:hint="eastAsia" w:ascii="Times New Roman"/>
                      <w:color w:val="auto"/>
                      <w:sz w:val="21"/>
                      <w:szCs w:val="21"/>
                    </w:rPr>
                    <w:t>）</w:t>
                  </w:r>
                </w:p>
              </w:tc>
              <w:tc>
                <w:tcPr>
                  <w:tcW w:w="1571"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73</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74</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75</w:t>
                  </w:r>
                </w:p>
              </w:tc>
              <w:tc>
                <w:tcPr>
                  <w:tcW w:w="1569" w:type="dxa"/>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81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tcBorders>
                  <w:noWrap w:val="0"/>
                  <w:vAlign w:val="center"/>
                </w:tcPr>
                <w:p>
                  <w:pPr>
                    <w:tabs>
                      <w:tab w:val="left" w:pos="9795"/>
                    </w:tabs>
                    <w:jc w:val="center"/>
                    <w:rPr>
                      <w:rFonts w:hint="eastAsia" w:ascii="Times New Roman" w:hAnsi="宋体"/>
                      <w:sz w:val="21"/>
                      <w:szCs w:val="21"/>
                    </w:rPr>
                  </w:pPr>
                  <w:r>
                    <w:rPr>
                      <w:rFonts w:hint="eastAsia" w:ascii="Times New Roman"/>
                      <w:color w:val="auto"/>
                      <w:sz w:val="21"/>
                      <w:szCs w:val="21"/>
                    </w:rPr>
                    <w:t>氨氮（</w:t>
                  </w:r>
                  <w:r>
                    <w:rPr>
                      <w:rFonts w:ascii="Times New Roman"/>
                      <w:sz w:val="21"/>
                      <w:szCs w:val="21"/>
                    </w:rPr>
                    <w:t>mg/L</w:t>
                  </w:r>
                  <w:r>
                    <w:rPr>
                      <w:rFonts w:hint="eastAsia" w:ascii="Times New Roman"/>
                      <w:color w:val="auto"/>
                      <w:sz w:val="21"/>
                      <w:szCs w:val="21"/>
                    </w:rPr>
                    <w:t>）</w:t>
                  </w:r>
                </w:p>
              </w:tc>
              <w:tc>
                <w:tcPr>
                  <w:tcW w:w="1571"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12.6</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13.5</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13.9</w:t>
                  </w:r>
                </w:p>
              </w:tc>
              <w:tc>
                <w:tcPr>
                  <w:tcW w:w="1569" w:type="dxa"/>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14.5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tcBorders>
                  <w:noWrap w:val="0"/>
                  <w:vAlign w:val="center"/>
                </w:tcPr>
                <w:p>
                  <w:pPr>
                    <w:jc w:val="center"/>
                    <w:rPr>
                      <w:rFonts w:hint="eastAsia" w:ascii="Times New Roman" w:hAnsi="宋体"/>
                      <w:sz w:val="21"/>
                      <w:szCs w:val="21"/>
                    </w:rPr>
                  </w:pPr>
                  <w:r>
                    <w:rPr>
                      <w:rFonts w:ascii="Times New Roman"/>
                      <w:sz w:val="21"/>
                      <w:szCs w:val="21"/>
                    </w:rPr>
                    <w:t>悬浮物</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1571" w:type="dxa"/>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5</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6</w:t>
                  </w:r>
                </w:p>
              </w:tc>
              <w:tc>
                <w:tcPr>
                  <w:tcW w:w="1571" w:type="dxa"/>
                  <w:gridSpan w:val="2"/>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5</w:t>
                  </w:r>
                </w:p>
              </w:tc>
              <w:tc>
                <w:tcPr>
                  <w:tcW w:w="1569" w:type="dxa"/>
                  <w:tcBorders>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bottom w:val="single" w:color="auto" w:sz="6" w:space="0"/>
                  </w:tcBorders>
                  <w:noWrap w:val="0"/>
                  <w:vAlign w:val="center"/>
                </w:tcPr>
                <w:p>
                  <w:pPr>
                    <w:jc w:val="center"/>
                    <w:rPr>
                      <w:rFonts w:hint="eastAsia" w:ascii="Times New Roman" w:hAnsi="宋体"/>
                      <w:sz w:val="21"/>
                      <w:szCs w:val="21"/>
                    </w:rPr>
                  </w:pPr>
                  <w:r>
                    <w:rPr>
                      <w:rFonts w:ascii="Times New Roman"/>
                      <w:sz w:val="21"/>
                      <w:szCs w:val="21"/>
                    </w:rPr>
                    <w:t>五日生化需氧量</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1571" w:type="dxa"/>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13.3</w:t>
                  </w:r>
                </w:p>
              </w:tc>
              <w:tc>
                <w:tcPr>
                  <w:tcW w:w="1571" w:type="dxa"/>
                  <w:gridSpan w:val="2"/>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16.8</w:t>
                  </w:r>
                </w:p>
              </w:tc>
              <w:tc>
                <w:tcPr>
                  <w:tcW w:w="1571" w:type="dxa"/>
                  <w:gridSpan w:val="2"/>
                  <w:tcBorders>
                    <w:bottom w:val="single" w:color="auto" w:sz="6" w:space="0"/>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15.5</w:t>
                  </w:r>
                </w:p>
              </w:tc>
              <w:tc>
                <w:tcPr>
                  <w:tcW w:w="1569" w:type="dxa"/>
                  <w:tcBorders>
                    <w:bottom w:val="single" w:color="auto" w:sz="6" w:space="0"/>
                    <w:right w:val="nil"/>
                  </w:tcBorders>
                  <w:noWrap w:val="0"/>
                  <w:vAlign w:val="center"/>
                </w:tcPr>
                <w:p>
                  <w:pPr>
                    <w:tabs>
                      <w:tab w:val="left" w:pos="9795"/>
                    </w:tabs>
                    <w:jc w:val="center"/>
                    <w:rPr>
                      <w:rFonts w:ascii="Times New Roman" w:cs="宋体"/>
                      <w:sz w:val="21"/>
                      <w:szCs w:val="21"/>
                    </w:rPr>
                  </w:pPr>
                  <w:r>
                    <w:rPr>
                      <w:rFonts w:hint="eastAsia" w:ascii="Times New Roman" w:cs="宋体"/>
                      <w:sz w:val="21"/>
                      <w:szCs w:val="21"/>
                    </w:rPr>
                    <w:t>16.2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3004" w:type="dxa"/>
                  <w:tcBorders>
                    <w:left w:val="nil"/>
                    <w:bottom w:val="single" w:color="auto" w:sz="6" w:space="0"/>
                  </w:tcBorders>
                  <w:noWrap w:val="0"/>
                  <w:vAlign w:val="center"/>
                </w:tcPr>
                <w:p>
                  <w:pPr>
                    <w:jc w:val="center"/>
                    <w:rPr>
                      <w:rFonts w:ascii="Times New Roman"/>
                      <w:sz w:val="21"/>
                      <w:szCs w:val="21"/>
                    </w:rPr>
                  </w:pPr>
                  <w:r>
                    <w:rPr>
                      <w:rFonts w:hint="eastAsia" w:ascii="Times New Roman"/>
                      <w:sz w:val="21"/>
                      <w:szCs w:val="21"/>
                    </w:rPr>
                    <w:t>pH值</w:t>
                  </w:r>
                  <w:r>
                    <w:rPr>
                      <w:rFonts w:hint="eastAsia" w:ascii="Times New Roman"/>
                      <w:color w:val="auto"/>
                      <w:sz w:val="21"/>
                      <w:szCs w:val="21"/>
                    </w:rPr>
                    <w:t>（</w:t>
                  </w:r>
                  <w:r>
                    <w:rPr>
                      <w:rFonts w:hint="eastAsia" w:ascii="Times New Roman"/>
                      <w:sz w:val="21"/>
                      <w:szCs w:val="21"/>
                    </w:rPr>
                    <w:t>无量纲</w:t>
                  </w:r>
                  <w:r>
                    <w:rPr>
                      <w:rFonts w:hint="eastAsia" w:ascii="Times New Roman"/>
                      <w:color w:val="auto"/>
                      <w:sz w:val="21"/>
                      <w:szCs w:val="21"/>
                    </w:rPr>
                    <w:t>）</w:t>
                  </w:r>
                </w:p>
              </w:tc>
              <w:tc>
                <w:tcPr>
                  <w:tcW w:w="1571" w:type="dxa"/>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7.59</w:t>
                  </w:r>
                </w:p>
              </w:tc>
              <w:tc>
                <w:tcPr>
                  <w:tcW w:w="1571" w:type="dxa"/>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7.63</w:t>
                  </w:r>
                </w:p>
              </w:tc>
              <w:tc>
                <w:tcPr>
                  <w:tcW w:w="1571" w:type="dxa"/>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7.73</w:t>
                  </w:r>
                </w:p>
              </w:tc>
              <w:tc>
                <w:tcPr>
                  <w:tcW w:w="1569" w:type="dxa"/>
                  <w:tcBorders>
                    <w:bottom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7.68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bottom w:val="single" w:color="auto" w:sz="6" w:space="0"/>
                  </w:tcBorders>
                  <w:noWrap w:val="0"/>
                  <w:vAlign w:val="center"/>
                </w:tcPr>
                <w:p>
                  <w:pPr>
                    <w:jc w:val="center"/>
                    <w:rPr>
                      <w:rFonts w:ascii="Times New Roman"/>
                      <w:sz w:val="21"/>
                      <w:szCs w:val="21"/>
                    </w:rPr>
                  </w:pPr>
                  <w:r>
                    <w:rPr>
                      <w:rFonts w:hint="eastAsia" w:ascii="Times New Roman"/>
                      <w:sz w:val="21"/>
                      <w:szCs w:val="21"/>
                    </w:rPr>
                    <w:t>阴离子表面活性剂</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1571" w:type="dxa"/>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c>
                <w:tcPr>
                  <w:tcW w:w="1571" w:type="dxa"/>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c>
                <w:tcPr>
                  <w:tcW w:w="1571" w:type="dxa"/>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c>
                <w:tcPr>
                  <w:tcW w:w="1569" w:type="dxa"/>
                  <w:tcBorders>
                    <w:bottom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004" w:type="dxa"/>
                  <w:tcBorders>
                    <w:left w:val="nil"/>
                    <w:bottom w:val="single" w:color="auto" w:sz="6" w:space="0"/>
                  </w:tcBorders>
                  <w:noWrap w:val="0"/>
                  <w:vAlign w:val="center"/>
                </w:tcPr>
                <w:p>
                  <w:pPr>
                    <w:jc w:val="center"/>
                    <w:rPr>
                      <w:rFonts w:ascii="Times New Roman"/>
                      <w:sz w:val="21"/>
                      <w:szCs w:val="21"/>
                    </w:rPr>
                  </w:pPr>
                  <w:r>
                    <w:rPr>
                      <w:rFonts w:hint="eastAsia" w:ascii="Times New Roman"/>
                      <w:sz w:val="21"/>
                      <w:szCs w:val="21"/>
                    </w:rPr>
                    <w:t>总磷</w:t>
                  </w:r>
                  <w:r>
                    <w:rPr>
                      <w:rFonts w:hint="eastAsia" w:ascii="Times New Roman"/>
                      <w:color w:val="auto"/>
                      <w:sz w:val="21"/>
                      <w:szCs w:val="21"/>
                    </w:rPr>
                    <w:t>（</w:t>
                  </w:r>
                  <w:r>
                    <w:rPr>
                      <w:rFonts w:ascii="Times New Roman"/>
                      <w:sz w:val="21"/>
                      <w:szCs w:val="21"/>
                    </w:rPr>
                    <w:t>mg/L</w:t>
                  </w:r>
                  <w:r>
                    <w:rPr>
                      <w:rFonts w:hint="eastAsia" w:ascii="Times New Roman"/>
                      <w:color w:val="auto"/>
                      <w:sz w:val="21"/>
                      <w:szCs w:val="21"/>
                    </w:rPr>
                    <w:t>）</w:t>
                  </w:r>
                </w:p>
              </w:tc>
              <w:tc>
                <w:tcPr>
                  <w:tcW w:w="1571" w:type="dxa"/>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0.07</w:t>
                  </w:r>
                </w:p>
              </w:tc>
              <w:tc>
                <w:tcPr>
                  <w:tcW w:w="1571" w:type="dxa"/>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0.08</w:t>
                  </w:r>
                </w:p>
              </w:tc>
              <w:tc>
                <w:tcPr>
                  <w:tcW w:w="1571" w:type="dxa"/>
                  <w:gridSpan w:val="2"/>
                  <w:tcBorders>
                    <w:bottom w:val="single" w:color="auto" w:sz="6"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0.07</w:t>
                  </w:r>
                </w:p>
              </w:tc>
              <w:tc>
                <w:tcPr>
                  <w:tcW w:w="1569" w:type="dxa"/>
                  <w:tcBorders>
                    <w:bottom w:val="single" w:color="auto" w:sz="6"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3004" w:type="dxa"/>
                  <w:tcBorders>
                    <w:top w:val="single" w:color="auto" w:sz="6" w:space="0"/>
                    <w:left w:val="nil"/>
                    <w:bottom w:val="double" w:color="auto" w:sz="4" w:space="0"/>
                  </w:tcBorders>
                  <w:noWrap w:val="0"/>
                  <w:vAlign w:val="center"/>
                </w:tcPr>
                <w:p>
                  <w:pPr>
                    <w:tabs>
                      <w:tab w:val="left" w:pos="9795"/>
                    </w:tabs>
                    <w:jc w:val="center"/>
                    <w:rPr>
                      <w:rFonts w:ascii="Times New Roman"/>
                      <w:sz w:val="21"/>
                      <w:szCs w:val="21"/>
                    </w:rPr>
                  </w:pPr>
                  <w:r>
                    <w:rPr>
                      <w:rFonts w:hint="eastAsia" w:ascii="Times New Roman" w:hAnsi="宋体"/>
                      <w:sz w:val="21"/>
                      <w:szCs w:val="21"/>
                    </w:rPr>
                    <w:t>备注</w:t>
                  </w:r>
                </w:p>
              </w:tc>
              <w:tc>
                <w:tcPr>
                  <w:tcW w:w="6282" w:type="dxa"/>
                  <w:gridSpan w:val="6"/>
                  <w:tcBorders>
                    <w:top w:val="single" w:color="auto" w:sz="6" w:space="0"/>
                    <w:bottom w:val="double" w:color="auto" w:sz="4" w:space="0"/>
                    <w:right w:val="nil"/>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ND表示未检出</w:t>
                  </w:r>
                </w:p>
              </w:tc>
            </w:tr>
          </w:tbl>
          <w:p>
            <w:pPr>
              <w:pStyle w:val="40"/>
              <w:jc w:val="both"/>
              <w:rPr>
                <w:rFonts w:hint="default"/>
                <w:vertAlign w:val="baseline"/>
                <w:lang w:val="en-US" w:eastAsia="zh-CN"/>
              </w:rPr>
            </w:pPr>
          </w:p>
        </w:tc>
      </w:tr>
    </w:tbl>
    <w:p>
      <w:pPr>
        <w:pStyle w:val="40"/>
        <w:rPr>
          <w:rFonts w:hint="default"/>
        </w:rPr>
        <w:sectPr>
          <w:pgSz w:w="11906" w:h="16838"/>
          <w:pgMar w:top="1440" w:right="1800" w:bottom="1440" w:left="1800" w:header="708" w:footer="708" w:gutter="0"/>
          <w:pgNumType w:fmt="numberInDash"/>
          <w:docGrid w:linePitch="360" w:charSpace="0"/>
        </w:sectPr>
      </w:pP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60" w:hRule="atLeast"/>
          <w:jc w:val="center"/>
        </w:trPr>
        <w:tc>
          <w:tcPr>
            <w:tcW w:w="5000" w:type="pct"/>
            <w:vAlign w:val="top"/>
          </w:tcPr>
          <w:p>
            <w:pPr>
              <w:pageBreakBefore w:val="0"/>
              <w:numPr>
                <w:ilvl w:val="0"/>
                <w:numId w:val="0"/>
              </w:numPr>
              <w:autoSpaceDE/>
              <w:autoSpaceDN/>
              <w:bidi w:val="0"/>
              <w:snapToGrid/>
              <w:spacing w:before="0" w:after="0" w:line="360" w:lineRule="auto"/>
              <w:ind w:right="0" w:firstLine="3120" w:firstLineChars="1300"/>
              <w:jc w:val="both"/>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表7-</w:t>
            </w:r>
            <w:r>
              <w:rPr>
                <w:rFonts w:hint="eastAsia" w:ascii="Times New Roman" w:hAnsi="Times New Roman" w:eastAsia="宋体"/>
                <w:color w:val="auto"/>
                <w:position w:val="0"/>
                <w:sz w:val="24"/>
                <w:szCs w:val="24"/>
                <w:lang w:val="en-US" w:eastAsia="zh-CN"/>
              </w:rPr>
              <w:t>6</w:t>
            </w:r>
            <w:r>
              <w:rPr>
                <w:rFonts w:hint="default" w:ascii="Times New Roman" w:hAnsi="Times New Roman" w:eastAsia="Times New Roman"/>
                <w:color w:val="auto"/>
                <w:position w:val="0"/>
                <w:sz w:val="24"/>
                <w:szCs w:val="24"/>
              </w:rPr>
              <w:t>噪声检测结果一览表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161"/>
              <w:gridCol w:w="652"/>
              <w:gridCol w:w="944"/>
              <w:gridCol w:w="944"/>
              <w:gridCol w:w="944"/>
              <w:gridCol w:w="948"/>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vMerge w:val="restart"/>
                  <w:tcBorders>
                    <w:top w:val="double" w:color="auto" w:sz="4" w:space="0"/>
                    <w:left w:val="nil"/>
                  </w:tcBorders>
                  <w:noWrap w:val="0"/>
                  <w:vAlign w:val="center"/>
                </w:tcPr>
                <w:p>
                  <w:pPr>
                    <w:jc w:val="center"/>
                    <w:rPr>
                      <w:rFonts w:hint="eastAsia" w:ascii="Times New Roman" w:cs="宋体"/>
                      <w:sz w:val="21"/>
                      <w:szCs w:val="21"/>
                    </w:rPr>
                  </w:pPr>
                  <w:r>
                    <w:rPr>
                      <w:rFonts w:hint="eastAsia" w:ascii="Times New Roman" w:cs="宋体"/>
                      <w:sz w:val="21"/>
                      <w:szCs w:val="21"/>
                    </w:rPr>
                    <w:t>检测项目</w:t>
                  </w:r>
                </w:p>
              </w:tc>
              <w:tc>
                <w:tcPr>
                  <w:tcW w:w="1510" w:type="dxa"/>
                  <w:gridSpan w:val="2"/>
                  <w:vMerge w:val="restart"/>
                  <w:tcBorders>
                    <w:top w:val="double" w:color="auto" w:sz="4" w:space="0"/>
                  </w:tcBorders>
                  <w:noWrap w:val="0"/>
                  <w:vAlign w:val="center"/>
                </w:tcPr>
                <w:p>
                  <w:pPr>
                    <w:jc w:val="center"/>
                    <w:rPr>
                      <w:rFonts w:hint="eastAsia" w:ascii="Times New Roman" w:cs="宋体"/>
                      <w:sz w:val="21"/>
                      <w:szCs w:val="21"/>
                    </w:rPr>
                  </w:pPr>
                  <w:r>
                    <w:rPr>
                      <w:rFonts w:hint="eastAsia" w:ascii="Times New Roman" w:cs="宋体"/>
                      <w:sz w:val="21"/>
                      <w:szCs w:val="21"/>
                    </w:rPr>
                    <w:t>检测日期</w:t>
                  </w:r>
                </w:p>
              </w:tc>
              <w:tc>
                <w:tcPr>
                  <w:tcW w:w="4416" w:type="dxa"/>
                  <w:gridSpan w:val="4"/>
                  <w:tcBorders>
                    <w:top w:val="double" w:color="auto" w:sz="4" w:space="0"/>
                  </w:tcBorders>
                  <w:noWrap w:val="0"/>
                  <w:vAlign w:val="center"/>
                </w:tcPr>
                <w:p>
                  <w:pPr>
                    <w:jc w:val="center"/>
                    <w:rPr>
                      <w:rFonts w:hint="eastAsia" w:ascii="Times New Roman" w:cs="宋体"/>
                      <w:sz w:val="21"/>
                      <w:szCs w:val="21"/>
                    </w:rPr>
                  </w:pPr>
                  <w:r>
                    <w:rPr>
                      <w:rFonts w:hint="eastAsia" w:ascii="Times New Roman" w:cs="宋体"/>
                      <w:sz w:val="21"/>
                      <w:szCs w:val="21"/>
                    </w:rPr>
                    <w:t>检测结果</w:t>
                  </w:r>
                </w:p>
              </w:tc>
              <w:tc>
                <w:tcPr>
                  <w:tcW w:w="2230" w:type="dxa"/>
                  <w:vMerge w:val="restart"/>
                  <w:tcBorders>
                    <w:top w:val="double" w:color="auto" w:sz="4"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vMerge w:val="continue"/>
                  <w:tcBorders>
                    <w:left w:val="nil"/>
                  </w:tcBorders>
                  <w:noWrap w:val="0"/>
                  <w:vAlign w:val="center"/>
                </w:tcPr>
                <w:p>
                  <w:pPr>
                    <w:jc w:val="center"/>
                    <w:rPr>
                      <w:rFonts w:hint="eastAsia" w:ascii="Times New Roman" w:cs="宋体"/>
                      <w:sz w:val="21"/>
                      <w:szCs w:val="21"/>
                    </w:rPr>
                  </w:pPr>
                </w:p>
              </w:tc>
              <w:tc>
                <w:tcPr>
                  <w:tcW w:w="1510" w:type="dxa"/>
                  <w:gridSpan w:val="2"/>
                  <w:vMerge w:val="continue"/>
                  <w:noWrap w:val="0"/>
                  <w:vAlign w:val="center"/>
                </w:tcPr>
                <w:p>
                  <w:pPr>
                    <w:jc w:val="center"/>
                    <w:rPr>
                      <w:rFonts w:hint="eastAsia" w:ascii="Times New Roman" w:cs="宋体"/>
                      <w:sz w:val="21"/>
                      <w:szCs w:val="21"/>
                    </w:rPr>
                  </w:pPr>
                </w:p>
              </w:tc>
              <w:tc>
                <w:tcPr>
                  <w:tcW w:w="1103" w:type="dxa"/>
                  <w:noWrap w:val="0"/>
                  <w:vAlign w:val="center"/>
                </w:tcPr>
                <w:p>
                  <w:pPr>
                    <w:jc w:val="center"/>
                    <w:rPr>
                      <w:rFonts w:hint="eastAsia" w:ascii="Times New Roman" w:cs="宋体"/>
                      <w:sz w:val="21"/>
                      <w:szCs w:val="21"/>
                    </w:rPr>
                  </w:pPr>
                  <w:r>
                    <w:rPr>
                      <w:rFonts w:hint="eastAsia" w:ascii="Times New Roman" w:cs="宋体"/>
                      <w:sz w:val="21"/>
                      <w:szCs w:val="21"/>
                    </w:rPr>
                    <w:t>东厂界1#</w:t>
                  </w:r>
                </w:p>
              </w:tc>
              <w:tc>
                <w:tcPr>
                  <w:tcW w:w="1103" w:type="dxa"/>
                  <w:noWrap w:val="0"/>
                  <w:vAlign w:val="center"/>
                </w:tcPr>
                <w:p>
                  <w:pPr>
                    <w:jc w:val="center"/>
                    <w:rPr>
                      <w:rFonts w:hint="eastAsia" w:ascii="Times New Roman" w:cs="宋体"/>
                      <w:sz w:val="21"/>
                      <w:szCs w:val="21"/>
                    </w:rPr>
                  </w:pPr>
                  <w:r>
                    <w:rPr>
                      <w:rFonts w:hint="eastAsia" w:ascii="Times New Roman" w:cs="宋体"/>
                      <w:sz w:val="21"/>
                      <w:szCs w:val="21"/>
                    </w:rPr>
                    <w:t>南厂界2#</w:t>
                  </w:r>
                </w:p>
              </w:tc>
              <w:tc>
                <w:tcPr>
                  <w:tcW w:w="1103" w:type="dxa"/>
                  <w:noWrap w:val="0"/>
                  <w:vAlign w:val="center"/>
                </w:tcPr>
                <w:p>
                  <w:pPr>
                    <w:jc w:val="center"/>
                    <w:rPr>
                      <w:rFonts w:hint="eastAsia" w:ascii="Times New Roman" w:cs="宋体"/>
                      <w:sz w:val="21"/>
                      <w:szCs w:val="21"/>
                    </w:rPr>
                  </w:pPr>
                  <w:r>
                    <w:rPr>
                      <w:rFonts w:hint="eastAsia" w:ascii="Times New Roman" w:cs="宋体"/>
                      <w:sz w:val="21"/>
                      <w:szCs w:val="21"/>
                    </w:rPr>
                    <w:t>西厂界3#</w:t>
                  </w:r>
                </w:p>
              </w:tc>
              <w:tc>
                <w:tcPr>
                  <w:tcW w:w="1107" w:type="dxa"/>
                  <w:noWrap w:val="0"/>
                  <w:vAlign w:val="center"/>
                </w:tcPr>
                <w:p>
                  <w:pPr>
                    <w:jc w:val="center"/>
                    <w:rPr>
                      <w:rFonts w:hint="eastAsia" w:ascii="Times New Roman" w:cs="宋体"/>
                      <w:sz w:val="21"/>
                      <w:szCs w:val="21"/>
                    </w:rPr>
                  </w:pPr>
                  <w:r>
                    <w:rPr>
                      <w:rFonts w:hint="eastAsia" w:ascii="Times New Roman" w:cs="宋体"/>
                      <w:sz w:val="21"/>
                      <w:szCs w:val="21"/>
                    </w:rPr>
                    <w:t>北厂界4#</w:t>
                  </w:r>
                </w:p>
              </w:tc>
              <w:tc>
                <w:tcPr>
                  <w:tcW w:w="2230" w:type="dxa"/>
                  <w:vMerge w:val="continue"/>
                  <w:tcBorders>
                    <w:right w:val="nil"/>
                  </w:tcBorders>
                  <w:noWrap w:val="0"/>
                  <w:vAlign w:val="center"/>
                </w:tcPr>
                <w:p>
                  <w:pPr>
                    <w:jc w:val="center"/>
                    <w:rPr>
                      <w:rFonts w:hint="eastAsia" w:ascii="Times New Roman"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vMerge w:val="restart"/>
                  <w:tcBorders>
                    <w:left w:val="nil"/>
                  </w:tcBorders>
                  <w:noWrap w:val="0"/>
                  <w:vAlign w:val="center"/>
                </w:tcPr>
                <w:p>
                  <w:pPr>
                    <w:jc w:val="center"/>
                    <w:rPr>
                      <w:rFonts w:hint="eastAsia" w:ascii="Times New Roman" w:cs="宋体"/>
                      <w:sz w:val="21"/>
                      <w:szCs w:val="21"/>
                    </w:rPr>
                  </w:pPr>
                  <w:r>
                    <w:rPr>
                      <w:rFonts w:hint="eastAsia" w:ascii="Times New Roman" w:cs="宋体"/>
                      <w:sz w:val="21"/>
                      <w:szCs w:val="21"/>
                    </w:rPr>
                    <w:t>工业企业厂界环境噪声</w:t>
                  </w:r>
                </w:p>
              </w:tc>
              <w:tc>
                <w:tcPr>
                  <w:tcW w:w="758" w:type="dxa"/>
                  <w:vMerge w:val="restart"/>
                  <w:noWrap w:val="0"/>
                  <w:vAlign w:val="center"/>
                </w:tcPr>
                <w:p>
                  <w:pPr>
                    <w:pStyle w:val="52"/>
                    <w:rPr>
                      <w:rFonts w:hint="eastAsia" w:ascii="Times New Roman" w:cs="宋体"/>
                      <w:sz w:val="21"/>
                    </w:rPr>
                  </w:pPr>
                  <w:r>
                    <w:rPr>
                      <w:rFonts w:hint="eastAsia" w:ascii="Times New Roman" w:cs="宋体"/>
                      <w:color w:val="auto"/>
                      <w:sz w:val="21"/>
                    </w:rPr>
                    <w:t>2019.11.25</w:t>
                  </w:r>
                </w:p>
              </w:tc>
              <w:tc>
                <w:tcPr>
                  <w:tcW w:w="752" w:type="dxa"/>
                  <w:tcBorders>
                    <w:bottom w:val="sing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昼间</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56.7</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56.6</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55.8</w:t>
                  </w:r>
                </w:p>
              </w:tc>
              <w:tc>
                <w:tcPr>
                  <w:tcW w:w="1107"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56.2</w:t>
                  </w:r>
                </w:p>
              </w:tc>
              <w:tc>
                <w:tcPr>
                  <w:tcW w:w="2230" w:type="dxa"/>
                  <w:tcBorders>
                    <w:bottom w:val="single" w:color="auto" w:sz="4"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无雷电、无雨雪，风速2.1m/s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vMerge w:val="continue"/>
                  <w:tcBorders>
                    <w:left w:val="nil"/>
                  </w:tcBorders>
                  <w:noWrap w:val="0"/>
                  <w:vAlign w:val="center"/>
                </w:tcPr>
                <w:p>
                  <w:pPr>
                    <w:jc w:val="center"/>
                    <w:rPr>
                      <w:rFonts w:hint="eastAsia" w:ascii="Times New Roman" w:cs="宋体"/>
                      <w:sz w:val="21"/>
                      <w:szCs w:val="21"/>
                    </w:rPr>
                  </w:pPr>
                </w:p>
              </w:tc>
              <w:tc>
                <w:tcPr>
                  <w:tcW w:w="758" w:type="dxa"/>
                  <w:vMerge w:val="continue"/>
                  <w:noWrap w:val="0"/>
                  <w:vAlign w:val="center"/>
                </w:tcPr>
                <w:p>
                  <w:pPr>
                    <w:pStyle w:val="52"/>
                    <w:rPr>
                      <w:rFonts w:hint="eastAsia" w:ascii="Times New Roman" w:cs="宋体"/>
                      <w:color w:val="auto"/>
                      <w:sz w:val="21"/>
                    </w:rPr>
                  </w:pPr>
                </w:p>
              </w:tc>
              <w:tc>
                <w:tcPr>
                  <w:tcW w:w="752" w:type="dxa"/>
                  <w:tcBorders>
                    <w:bottom w:val="sing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夜间</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46.9</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46.7</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46.0</w:t>
                  </w:r>
                </w:p>
              </w:tc>
              <w:tc>
                <w:tcPr>
                  <w:tcW w:w="1107"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46.4</w:t>
                  </w:r>
                </w:p>
              </w:tc>
              <w:tc>
                <w:tcPr>
                  <w:tcW w:w="2230" w:type="dxa"/>
                  <w:tcBorders>
                    <w:bottom w:val="single" w:color="auto" w:sz="4"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无雷电、无雨雪，风速2.5m/s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vMerge w:val="continue"/>
                  <w:tcBorders>
                    <w:left w:val="nil"/>
                  </w:tcBorders>
                  <w:noWrap w:val="0"/>
                  <w:vAlign w:val="center"/>
                </w:tcPr>
                <w:p>
                  <w:pPr>
                    <w:jc w:val="center"/>
                    <w:rPr>
                      <w:rFonts w:hint="eastAsia" w:ascii="Times New Roman" w:cs="宋体"/>
                      <w:sz w:val="21"/>
                      <w:szCs w:val="21"/>
                    </w:rPr>
                  </w:pPr>
                </w:p>
              </w:tc>
              <w:tc>
                <w:tcPr>
                  <w:tcW w:w="758" w:type="dxa"/>
                  <w:vMerge w:val="restart"/>
                  <w:noWrap w:val="0"/>
                  <w:vAlign w:val="center"/>
                </w:tcPr>
                <w:p>
                  <w:pPr>
                    <w:pStyle w:val="52"/>
                    <w:rPr>
                      <w:rFonts w:hint="eastAsia" w:ascii="Times New Roman" w:cs="宋体"/>
                      <w:sz w:val="21"/>
                    </w:rPr>
                  </w:pPr>
                  <w:r>
                    <w:rPr>
                      <w:rFonts w:hint="eastAsia" w:ascii="Times New Roman" w:cs="宋体"/>
                      <w:color w:val="auto"/>
                      <w:sz w:val="21"/>
                    </w:rPr>
                    <w:t>2019.11.26</w:t>
                  </w:r>
                </w:p>
              </w:tc>
              <w:tc>
                <w:tcPr>
                  <w:tcW w:w="752" w:type="dxa"/>
                  <w:tcBorders>
                    <w:bottom w:val="sing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昼间</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56.9</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56.4</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55.6</w:t>
                  </w:r>
                </w:p>
              </w:tc>
              <w:tc>
                <w:tcPr>
                  <w:tcW w:w="1107"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56.0</w:t>
                  </w:r>
                </w:p>
              </w:tc>
              <w:tc>
                <w:tcPr>
                  <w:tcW w:w="2230" w:type="dxa"/>
                  <w:tcBorders>
                    <w:bottom w:val="single" w:color="auto" w:sz="4"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无雷电、无雨雪，风速2.3m/s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vMerge w:val="continue"/>
                  <w:tcBorders>
                    <w:left w:val="nil"/>
                  </w:tcBorders>
                  <w:noWrap w:val="0"/>
                  <w:vAlign w:val="center"/>
                </w:tcPr>
                <w:p>
                  <w:pPr>
                    <w:jc w:val="center"/>
                    <w:rPr>
                      <w:rFonts w:hint="eastAsia" w:ascii="Times New Roman" w:cs="宋体"/>
                      <w:sz w:val="21"/>
                      <w:szCs w:val="21"/>
                    </w:rPr>
                  </w:pPr>
                </w:p>
              </w:tc>
              <w:tc>
                <w:tcPr>
                  <w:tcW w:w="758" w:type="dxa"/>
                  <w:vMerge w:val="continue"/>
                  <w:noWrap w:val="0"/>
                  <w:vAlign w:val="center"/>
                </w:tcPr>
                <w:p>
                  <w:pPr>
                    <w:pStyle w:val="52"/>
                    <w:rPr>
                      <w:rFonts w:hint="eastAsia" w:ascii="Times New Roman" w:cs="宋体"/>
                      <w:color w:val="auto"/>
                      <w:sz w:val="21"/>
                    </w:rPr>
                  </w:pPr>
                </w:p>
              </w:tc>
              <w:tc>
                <w:tcPr>
                  <w:tcW w:w="752" w:type="dxa"/>
                  <w:tcBorders>
                    <w:bottom w:val="single" w:color="auto" w:sz="4" w:space="0"/>
                  </w:tcBorders>
                  <w:noWrap w:val="0"/>
                  <w:vAlign w:val="center"/>
                </w:tcPr>
                <w:p>
                  <w:pPr>
                    <w:tabs>
                      <w:tab w:val="left" w:pos="9795"/>
                    </w:tabs>
                    <w:jc w:val="center"/>
                    <w:rPr>
                      <w:rFonts w:hint="eastAsia" w:ascii="Times New Roman" w:cs="宋体"/>
                      <w:sz w:val="21"/>
                      <w:szCs w:val="21"/>
                    </w:rPr>
                  </w:pPr>
                  <w:r>
                    <w:rPr>
                      <w:rFonts w:hint="eastAsia" w:ascii="Times New Roman" w:cs="宋体"/>
                      <w:sz w:val="21"/>
                      <w:szCs w:val="21"/>
                    </w:rPr>
                    <w:t>夜间</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47.1</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46.5</w:t>
                  </w:r>
                </w:p>
              </w:tc>
              <w:tc>
                <w:tcPr>
                  <w:tcW w:w="1103"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45.8</w:t>
                  </w:r>
                </w:p>
              </w:tc>
              <w:tc>
                <w:tcPr>
                  <w:tcW w:w="1107" w:type="dxa"/>
                  <w:tcBorders>
                    <w:bottom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46.1</w:t>
                  </w:r>
                </w:p>
              </w:tc>
              <w:tc>
                <w:tcPr>
                  <w:tcW w:w="2230" w:type="dxa"/>
                  <w:tcBorders>
                    <w:bottom w:val="single" w:color="auto" w:sz="4"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无雷电、无雨雪，风速2.7m/s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0" w:type="dxa"/>
                  <w:tcBorders>
                    <w:left w:val="nil"/>
                    <w:bottom w:val="double" w:color="auto" w:sz="4" w:space="0"/>
                  </w:tcBorders>
                  <w:noWrap w:val="0"/>
                  <w:vAlign w:val="center"/>
                </w:tcPr>
                <w:p>
                  <w:pPr>
                    <w:jc w:val="center"/>
                    <w:rPr>
                      <w:rFonts w:hint="eastAsia" w:ascii="Times New Roman" w:cs="宋体"/>
                      <w:sz w:val="21"/>
                      <w:szCs w:val="21"/>
                    </w:rPr>
                  </w:pPr>
                  <w:r>
                    <w:rPr>
                      <w:rFonts w:hint="eastAsia" w:ascii="Times New Roman" w:cs="宋体"/>
                      <w:sz w:val="21"/>
                      <w:szCs w:val="21"/>
                    </w:rPr>
                    <w:t>备注</w:t>
                  </w:r>
                </w:p>
              </w:tc>
              <w:tc>
                <w:tcPr>
                  <w:tcW w:w="8156" w:type="dxa"/>
                  <w:gridSpan w:val="7"/>
                  <w:tcBorders>
                    <w:bottom w:val="double" w:color="auto" w:sz="4" w:space="0"/>
                    <w:right w:val="nil"/>
                  </w:tcBorders>
                  <w:noWrap w:val="0"/>
                  <w:vAlign w:val="center"/>
                </w:tcPr>
                <w:p>
                  <w:pPr>
                    <w:jc w:val="center"/>
                    <w:rPr>
                      <w:rFonts w:hint="eastAsia" w:ascii="Times New Roman" w:cs="宋体"/>
                      <w:sz w:val="21"/>
                      <w:szCs w:val="21"/>
                    </w:rPr>
                  </w:pPr>
                  <w:r>
                    <w:rPr>
                      <w:rFonts w:hint="eastAsia" w:ascii="Times New Roman" w:cs="宋体"/>
                      <w:sz w:val="21"/>
                      <w:szCs w:val="21"/>
                    </w:rPr>
                    <w:t>/</w:t>
                  </w:r>
                </w:p>
              </w:tc>
            </w:tr>
          </w:tbl>
          <w:p>
            <w:pPr>
              <w:pStyle w:val="8"/>
              <w:rPr>
                <w:rFonts w:hint="default" w:ascii="Times New Roman" w:hAnsi="Times New Roman" w:eastAsia="Times New Roman"/>
                <w:color w:val="auto"/>
                <w:position w:val="0"/>
                <w:sz w:val="24"/>
                <w:szCs w:val="24"/>
              </w:rPr>
            </w:pPr>
          </w:p>
          <w:p>
            <w:pPr>
              <w:jc w:val="both"/>
              <w:rPr>
                <w:rFonts w:hint="default"/>
              </w:rPr>
            </w:pPr>
          </w:p>
          <w:p>
            <w:pPr>
              <w:pStyle w:val="40"/>
              <w:numPr>
                <w:ilvl w:val="0"/>
                <w:numId w:val="0"/>
              </w:numPr>
              <w:autoSpaceDE w:val="0"/>
              <w:autoSpaceDN w:val="0"/>
              <w:spacing w:before="0" w:after="160" w:line="240" w:lineRule="auto"/>
              <w:ind w:right="0" w:firstLine="0"/>
              <w:jc w:val="both"/>
              <w:rPr>
                <w:rFonts w:hint="default" w:ascii="Times New Roman" w:hAnsi="Times New Roman" w:eastAsia="Times New Roman"/>
                <w:color w:val="000000"/>
                <w:position w:val="0"/>
                <w:sz w:val="28"/>
                <w:szCs w:val="28"/>
              </w:rPr>
            </w:pPr>
            <w:r>
              <w:rPr>
                <w:rFonts w:hint="default" w:ascii="Times New Roman" w:hAnsi="Times New Roman" w:eastAsia="Times New Roman"/>
                <w:b/>
                <w:color w:val="000000"/>
                <w:position w:val="0"/>
                <w:sz w:val="24"/>
                <w:szCs w:val="24"/>
              </w:rPr>
              <w:t>附表</w:t>
            </w:r>
            <w:r>
              <w:rPr>
                <w:rFonts w:hint="default" w:ascii="Times New Roman" w:hAnsi="Times New Roman" w:eastAsia="Times New Roman"/>
                <w:color w:val="000000"/>
                <w:position w:val="0"/>
                <w:sz w:val="28"/>
                <w:szCs w:val="28"/>
              </w:rPr>
              <w:t xml:space="preserve"> </w:t>
            </w:r>
          </w:p>
          <w:p>
            <w:pPr>
              <w:numPr>
                <w:ilvl w:val="0"/>
                <w:numId w:val="0"/>
              </w:numPr>
              <w:autoSpaceDE/>
              <w:autoSpaceDN/>
              <w:snapToGrid w:val="0"/>
              <w:spacing w:before="0" w:after="120" w:line="400" w:lineRule="exact"/>
              <w:ind w:right="0" w:firstLine="0"/>
              <w:jc w:val="center"/>
              <w:rPr>
                <w:rFonts w:hint="default" w:ascii="Times New Roman" w:hAnsi="Times New Roman" w:eastAsia="Times New Roman"/>
                <w:color w:val="000000"/>
                <w:position w:val="0"/>
                <w:sz w:val="28"/>
                <w:szCs w:val="28"/>
              </w:rPr>
            </w:pPr>
            <w:r>
              <w:rPr>
                <w:rFonts w:hint="default" w:ascii="Times New Roman" w:hAnsi="Times New Roman" w:eastAsia="Times New Roman"/>
                <w:color w:val="000000"/>
                <w:position w:val="0"/>
                <w:sz w:val="24"/>
                <w:szCs w:val="24"/>
              </w:rPr>
              <w:t>气象条件参数</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2"/>
              <w:gridCol w:w="1055"/>
              <w:gridCol w:w="1029"/>
              <w:gridCol w:w="1105"/>
              <w:gridCol w:w="979"/>
              <w:gridCol w:w="966"/>
              <w:gridCol w:w="917"/>
              <w:gridCol w:w="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tcBorders>
                    <w:top w:val="double" w:color="auto" w:sz="4" w:space="0"/>
                    <w:left w:val="nil"/>
                    <w:bottom w:val="single" w:color="auto" w:sz="6" w:space="0"/>
                    <w:right w:val="single" w:color="auto" w:sz="4" w:space="0"/>
                  </w:tcBorders>
                  <w:noWrap w:val="0"/>
                  <w:vAlign w:val="center"/>
                </w:tcPr>
                <w:p>
                  <w:pPr>
                    <w:jc w:val="center"/>
                    <w:rPr>
                      <w:rFonts w:ascii="Times New Roman" w:cs="宋体"/>
                      <w:sz w:val="21"/>
                      <w:szCs w:val="21"/>
                    </w:rPr>
                  </w:pPr>
                  <w:r>
                    <w:rPr>
                      <w:rFonts w:hint="eastAsia" w:ascii="Times New Roman" w:cs="宋体"/>
                      <w:sz w:val="21"/>
                      <w:szCs w:val="21"/>
                    </w:rPr>
                    <w:t>采样日期</w:t>
                  </w:r>
                </w:p>
              </w:tc>
              <w:tc>
                <w:tcPr>
                  <w:tcW w:w="1241" w:type="dxa"/>
                  <w:tcBorders>
                    <w:top w:val="double" w:color="auto" w:sz="4" w:space="0"/>
                    <w:left w:val="single" w:color="auto" w:sz="4" w:space="0"/>
                  </w:tcBorders>
                  <w:noWrap w:val="0"/>
                  <w:vAlign w:val="center"/>
                </w:tcPr>
                <w:p>
                  <w:pPr>
                    <w:jc w:val="center"/>
                    <w:rPr>
                      <w:rFonts w:hint="eastAsia" w:ascii="Times New Roman" w:cs="宋体"/>
                      <w:sz w:val="21"/>
                      <w:szCs w:val="21"/>
                    </w:rPr>
                  </w:pPr>
                  <w:r>
                    <w:rPr>
                      <w:rFonts w:hint="eastAsia" w:ascii="Times New Roman" w:cs="宋体"/>
                      <w:sz w:val="21"/>
                      <w:szCs w:val="21"/>
                    </w:rPr>
                    <w:t>频次</w:t>
                  </w:r>
                </w:p>
              </w:tc>
              <w:tc>
                <w:tcPr>
                  <w:tcW w:w="1164" w:type="dxa"/>
                  <w:tcBorders>
                    <w:top w:val="double" w:color="auto" w:sz="4" w:space="0"/>
                  </w:tcBorders>
                  <w:noWrap w:val="0"/>
                  <w:vAlign w:val="center"/>
                </w:tcPr>
                <w:p>
                  <w:pPr>
                    <w:adjustRightInd w:val="0"/>
                    <w:snapToGrid w:val="0"/>
                    <w:spacing w:line="320" w:lineRule="exact"/>
                    <w:jc w:val="center"/>
                    <w:rPr>
                      <w:rFonts w:ascii="Times New Roman" w:cs="宋体"/>
                      <w:sz w:val="21"/>
                      <w:szCs w:val="21"/>
                    </w:rPr>
                  </w:pPr>
                  <w:r>
                    <w:rPr>
                      <w:rFonts w:hint="eastAsia" w:ascii="Times New Roman" w:cs="宋体"/>
                      <w:sz w:val="21"/>
                      <w:szCs w:val="21"/>
                    </w:rPr>
                    <w:t>气温</w:t>
                  </w:r>
                </w:p>
                <w:p>
                  <w:pPr>
                    <w:adjustRightInd w:val="0"/>
                    <w:snapToGrid w:val="0"/>
                    <w:spacing w:line="320" w:lineRule="exact"/>
                    <w:jc w:val="center"/>
                    <w:rPr>
                      <w:rFonts w:ascii="Times New Roman" w:cs="宋体"/>
                      <w:sz w:val="21"/>
                      <w:szCs w:val="21"/>
                    </w:rPr>
                  </w:pPr>
                  <w:r>
                    <w:rPr>
                      <w:rFonts w:hint="eastAsia" w:ascii="Times New Roman" w:cs="宋体"/>
                      <w:sz w:val="21"/>
                      <w:szCs w:val="21"/>
                    </w:rPr>
                    <w:t>(℃)</w:t>
                  </w:r>
                </w:p>
              </w:tc>
              <w:tc>
                <w:tcPr>
                  <w:tcW w:w="1228" w:type="dxa"/>
                  <w:tcBorders>
                    <w:top w:val="double" w:color="auto" w:sz="4" w:space="0"/>
                  </w:tcBorders>
                  <w:noWrap w:val="0"/>
                  <w:vAlign w:val="center"/>
                </w:tcPr>
                <w:p>
                  <w:pPr>
                    <w:adjustRightInd w:val="0"/>
                    <w:snapToGrid w:val="0"/>
                    <w:spacing w:line="320" w:lineRule="exact"/>
                    <w:jc w:val="center"/>
                    <w:rPr>
                      <w:rFonts w:ascii="Times New Roman" w:cs="宋体"/>
                      <w:sz w:val="21"/>
                      <w:szCs w:val="21"/>
                    </w:rPr>
                  </w:pPr>
                  <w:r>
                    <w:rPr>
                      <w:rFonts w:hint="eastAsia" w:ascii="Times New Roman" w:cs="宋体"/>
                      <w:sz w:val="21"/>
                      <w:szCs w:val="21"/>
                    </w:rPr>
                    <w:t>气压</w:t>
                  </w:r>
                </w:p>
                <w:p>
                  <w:pPr>
                    <w:adjustRightInd w:val="0"/>
                    <w:snapToGrid w:val="0"/>
                    <w:spacing w:line="320" w:lineRule="exact"/>
                    <w:jc w:val="center"/>
                    <w:rPr>
                      <w:rFonts w:ascii="Times New Roman" w:cs="宋体"/>
                      <w:sz w:val="21"/>
                      <w:szCs w:val="21"/>
                    </w:rPr>
                  </w:pPr>
                  <w:r>
                    <w:rPr>
                      <w:rFonts w:hint="eastAsia" w:ascii="Times New Roman" w:cs="宋体"/>
                      <w:sz w:val="21"/>
                      <w:szCs w:val="21"/>
                    </w:rPr>
                    <w:t>(kPa)</w:t>
                  </w:r>
                </w:p>
              </w:tc>
              <w:tc>
                <w:tcPr>
                  <w:tcW w:w="1073" w:type="dxa"/>
                  <w:tcBorders>
                    <w:top w:val="double" w:color="auto" w:sz="4" w:space="0"/>
                  </w:tcBorders>
                  <w:noWrap w:val="0"/>
                  <w:vAlign w:val="center"/>
                </w:tcPr>
                <w:p>
                  <w:pPr>
                    <w:adjustRightInd w:val="0"/>
                    <w:snapToGrid w:val="0"/>
                    <w:spacing w:line="320" w:lineRule="exact"/>
                    <w:jc w:val="center"/>
                    <w:rPr>
                      <w:rFonts w:ascii="Times New Roman" w:cs="宋体"/>
                      <w:sz w:val="21"/>
                      <w:szCs w:val="21"/>
                    </w:rPr>
                  </w:pPr>
                  <w:r>
                    <w:rPr>
                      <w:rFonts w:hint="eastAsia" w:ascii="Times New Roman" w:cs="宋体"/>
                      <w:sz w:val="21"/>
                      <w:szCs w:val="21"/>
                    </w:rPr>
                    <w:t>风速</w:t>
                  </w:r>
                </w:p>
                <w:p>
                  <w:pPr>
                    <w:adjustRightInd w:val="0"/>
                    <w:snapToGrid w:val="0"/>
                    <w:spacing w:line="320" w:lineRule="exact"/>
                    <w:jc w:val="center"/>
                    <w:rPr>
                      <w:rFonts w:ascii="Times New Roman" w:cs="宋体"/>
                      <w:sz w:val="21"/>
                      <w:szCs w:val="21"/>
                    </w:rPr>
                  </w:pPr>
                  <w:r>
                    <w:rPr>
                      <w:rFonts w:hint="eastAsia" w:ascii="Times New Roman" w:cs="宋体"/>
                      <w:sz w:val="21"/>
                      <w:szCs w:val="21"/>
                    </w:rPr>
                    <w:t>(m/s)</w:t>
                  </w:r>
                </w:p>
              </w:tc>
              <w:tc>
                <w:tcPr>
                  <w:tcW w:w="1105" w:type="dxa"/>
                  <w:tcBorders>
                    <w:top w:val="double" w:color="auto" w:sz="4" w:space="0"/>
                  </w:tcBorders>
                  <w:noWrap w:val="0"/>
                  <w:vAlign w:val="center"/>
                </w:tcPr>
                <w:p>
                  <w:pPr>
                    <w:adjustRightInd w:val="0"/>
                    <w:snapToGrid w:val="0"/>
                    <w:spacing w:line="320" w:lineRule="exact"/>
                    <w:jc w:val="center"/>
                    <w:rPr>
                      <w:rFonts w:ascii="Times New Roman" w:cs="宋体"/>
                      <w:sz w:val="21"/>
                      <w:szCs w:val="21"/>
                    </w:rPr>
                  </w:pPr>
                  <w:r>
                    <w:rPr>
                      <w:rFonts w:hint="eastAsia" w:ascii="Times New Roman" w:cs="宋体"/>
                      <w:sz w:val="21"/>
                      <w:szCs w:val="21"/>
                    </w:rPr>
                    <w:t>风向</w:t>
                  </w:r>
                </w:p>
              </w:tc>
              <w:tc>
                <w:tcPr>
                  <w:tcW w:w="1062" w:type="dxa"/>
                  <w:tcBorders>
                    <w:top w:val="double" w:color="auto" w:sz="4" w:space="0"/>
                  </w:tcBorders>
                  <w:noWrap w:val="0"/>
                  <w:vAlign w:val="center"/>
                </w:tcPr>
                <w:p>
                  <w:pPr>
                    <w:adjustRightInd w:val="0"/>
                    <w:snapToGrid w:val="0"/>
                    <w:spacing w:line="320" w:lineRule="exact"/>
                    <w:jc w:val="center"/>
                    <w:rPr>
                      <w:rFonts w:ascii="Times New Roman" w:cs="宋体"/>
                      <w:sz w:val="21"/>
                      <w:szCs w:val="21"/>
                    </w:rPr>
                  </w:pPr>
                  <w:r>
                    <w:rPr>
                      <w:rFonts w:hint="eastAsia" w:ascii="Times New Roman" w:cs="宋体"/>
                      <w:sz w:val="21"/>
                      <w:szCs w:val="21"/>
                    </w:rPr>
                    <w:t>总云量</w:t>
                  </w:r>
                </w:p>
              </w:tc>
              <w:tc>
                <w:tcPr>
                  <w:tcW w:w="1005" w:type="dxa"/>
                  <w:tcBorders>
                    <w:top w:val="double" w:color="auto" w:sz="4" w:space="0"/>
                    <w:bottom w:val="single" w:color="auto" w:sz="6" w:space="0"/>
                    <w:right w:val="nil"/>
                  </w:tcBorders>
                  <w:noWrap w:val="0"/>
                  <w:vAlign w:val="center"/>
                </w:tcPr>
                <w:p>
                  <w:pPr>
                    <w:adjustRightInd w:val="0"/>
                    <w:snapToGrid w:val="0"/>
                    <w:spacing w:line="320" w:lineRule="exact"/>
                    <w:jc w:val="center"/>
                    <w:rPr>
                      <w:rFonts w:ascii="Times New Roman" w:cs="宋体"/>
                      <w:sz w:val="21"/>
                      <w:szCs w:val="21"/>
                    </w:rPr>
                  </w:pPr>
                  <w:r>
                    <w:rPr>
                      <w:rFonts w:hint="eastAsia" w:ascii="Times New Roman" w:cs="宋体"/>
                      <w:sz w:val="21"/>
                      <w:szCs w:val="21"/>
                    </w:rPr>
                    <w:t>低云量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restart"/>
                  <w:tcBorders>
                    <w:top w:val="single" w:color="auto" w:sz="6" w:space="0"/>
                    <w:left w:val="nil"/>
                    <w:right w:val="single" w:color="auto" w:sz="4" w:space="0"/>
                  </w:tcBorders>
                  <w:noWrap w:val="0"/>
                  <w:vAlign w:val="center"/>
                </w:tcPr>
                <w:p>
                  <w:pPr>
                    <w:pStyle w:val="52"/>
                    <w:rPr>
                      <w:rFonts w:hint="eastAsia" w:ascii="Times New Roman" w:cs="宋体"/>
                      <w:snapToGrid/>
                      <w:sz w:val="21"/>
                    </w:rPr>
                  </w:pPr>
                  <w:r>
                    <w:rPr>
                      <w:rFonts w:hint="eastAsia" w:ascii="Times New Roman" w:cs="宋体"/>
                      <w:color w:val="auto"/>
                      <w:sz w:val="21"/>
                    </w:rPr>
                    <w:t>2019.11.25</w:t>
                  </w:r>
                </w:p>
              </w:tc>
              <w:tc>
                <w:tcPr>
                  <w:tcW w:w="1241" w:type="dxa"/>
                  <w:tcBorders>
                    <w:left w:val="single" w:color="auto" w:sz="4" w:space="0"/>
                  </w:tcBorders>
                  <w:noWrap w:val="0"/>
                  <w:vAlign w:val="center"/>
                </w:tcPr>
                <w:p>
                  <w:pPr>
                    <w:tabs>
                      <w:tab w:val="left" w:pos="9795"/>
                    </w:tabs>
                    <w:jc w:val="center"/>
                    <w:rPr>
                      <w:rFonts w:ascii="Times New Roman" w:cs="宋体"/>
                      <w:sz w:val="21"/>
                    </w:rPr>
                  </w:pPr>
                  <w:r>
                    <w:rPr>
                      <w:rFonts w:hint="eastAsia" w:ascii="Times New Roman" w:cs="宋体"/>
                      <w:color w:val="auto"/>
                      <w:sz w:val="21"/>
                      <w:szCs w:val="21"/>
                    </w:rPr>
                    <w:t>第1次</w:t>
                  </w:r>
                </w:p>
              </w:tc>
              <w:tc>
                <w:tcPr>
                  <w:tcW w:w="1164" w:type="dxa"/>
                  <w:noWrap w:val="0"/>
                  <w:vAlign w:val="center"/>
                </w:tcPr>
                <w:p>
                  <w:pPr>
                    <w:widowControl/>
                    <w:jc w:val="center"/>
                    <w:textAlignment w:val="center"/>
                    <w:rPr>
                      <w:rFonts w:hint="eastAsia" w:ascii="Times New Roman" w:cs="宋体"/>
                      <w:sz w:val="21"/>
                    </w:rPr>
                  </w:pPr>
                  <w:r>
                    <w:rPr>
                      <w:rFonts w:hint="eastAsia" w:ascii="Times New Roman" w:cs="宋体"/>
                      <w:sz w:val="21"/>
                    </w:rPr>
                    <w:t>4.2</w:t>
                  </w:r>
                </w:p>
              </w:tc>
              <w:tc>
                <w:tcPr>
                  <w:tcW w:w="1228"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102.5</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2.5</w:t>
                  </w:r>
                </w:p>
              </w:tc>
              <w:tc>
                <w:tcPr>
                  <w:tcW w:w="1105" w:type="dxa"/>
                  <w:noWrap w:val="0"/>
                  <w:vAlign w:val="center"/>
                </w:tcPr>
                <w:p>
                  <w:pPr>
                    <w:jc w:val="center"/>
                    <w:rPr>
                      <w:rFonts w:ascii="Times New Roman" w:cs="宋体"/>
                      <w:sz w:val="21"/>
                    </w:rPr>
                  </w:pPr>
                  <w:r>
                    <w:rPr>
                      <w:rFonts w:hint="eastAsia" w:ascii="Times New Roman" w:cs="宋体"/>
                      <w:sz w:val="21"/>
                    </w:rPr>
                    <w:t>NE</w:t>
                  </w:r>
                </w:p>
              </w:tc>
              <w:tc>
                <w:tcPr>
                  <w:tcW w:w="1062" w:type="dxa"/>
                  <w:noWrap w:val="0"/>
                  <w:vAlign w:val="center"/>
                </w:tcPr>
                <w:p>
                  <w:pPr>
                    <w:pStyle w:val="52"/>
                    <w:rPr>
                      <w:rFonts w:hint="eastAsia" w:ascii="Times New Roman" w:cs="宋体"/>
                      <w:snapToGrid/>
                      <w:sz w:val="21"/>
                    </w:rPr>
                  </w:pPr>
                  <w:r>
                    <w:rPr>
                      <w:rFonts w:hint="eastAsia" w:ascii="Times New Roman" w:cs="宋体"/>
                      <w:snapToGrid/>
                      <w:sz w:val="21"/>
                    </w:rPr>
                    <w:t>5</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continue"/>
                  <w:tcBorders>
                    <w:left w:val="nil"/>
                    <w:right w:val="single" w:color="auto" w:sz="4" w:space="0"/>
                  </w:tcBorders>
                  <w:noWrap w:val="0"/>
                  <w:vAlign w:val="center"/>
                </w:tcPr>
                <w:p>
                  <w:pPr>
                    <w:pStyle w:val="52"/>
                    <w:rPr>
                      <w:rFonts w:ascii="Times New Roman" w:cs="宋体"/>
                      <w:snapToGrid/>
                      <w:sz w:val="21"/>
                    </w:rPr>
                  </w:pPr>
                </w:p>
              </w:tc>
              <w:tc>
                <w:tcPr>
                  <w:tcW w:w="1241" w:type="dxa"/>
                  <w:noWrap w:val="0"/>
                  <w:vAlign w:val="center"/>
                </w:tcPr>
                <w:p>
                  <w:pPr>
                    <w:adjustRightInd w:val="0"/>
                    <w:snapToGrid w:val="0"/>
                    <w:jc w:val="center"/>
                    <w:rPr>
                      <w:rFonts w:ascii="Times New Roman" w:cs="宋体"/>
                      <w:sz w:val="21"/>
                    </w:rPr>
                  </w:pPr>
                  <w:r>
                    <w:rPr>
                      <w:rFonts w:hint="eastAsia" w:ascii="Times New Roman" w:cs="宋体"/>
                      <w:color w:val="auto"/>
                      <w:sz w:val="21"/>
                      <w:szCs w:val="21"/>
                    </w:rPr>
                    <w:t>第2次</w:t>
                  </w:r>
                </w:p>
              </w:tc>
              <w:tc>
                <w:tcPr>
                  <w:tcW w:w="1164" w:type="dxa"/>
                  <w:noWrap w:val="0"/>
                  <w:vAlign w:val="center"/>
                </w:tcPr>
                <w:p>
                  <w:pPr>
                    <w:widowControl/>
                    <w:jc w:val="center"/>
                    <w:textAlignment w:val="center"/>
                    <w:rPr>
                      <w:rFonts w:hint="eastAsia" w:ascii="Times New Roman" w:cs="宋体"/>
                      <w:sz w:val="21"/>
                    </w:rPr>
                  </w:pPr>
                  <w:r>
                    <w:rPr>
                      <w:rFonts w:hint="eastAsia" w:ascii="Times New Roman" w:cs="宋体"/>
                      <w:sz w:val="21"/>
                    </w:rPr>
                    <w:t>6.6</w:t>
                  </w:r>
                </w:p>
              </w:tc>
              <w:tc>
                <w:tcPr>
                  <w:tcW w:w="1228" w:type="dxa"/>
                  <w:noWrap w:val="0"/>
                  <w:vAlign w:val="center"/>
                </w:tcPr>
                <w:p>
                  <w:pPr>
                    <w:jc w:val="center"/>
                    <w:rPr>
                      <w:rFonts w:hint="eastAsia" w:ascii="Times New Roman" w:cs="宋体"/>
                      <w:sz w:val="21"/>
                      <w:szCs w:val="22"/>
                    </w:rPr>
                  </w:pPr>
                  <w:r>
                    <w:rPr>
                      <w:rFonts w:hint="eastAsia" w:ascii="Times New Roman" w:cs="宋体"/>
                      <w:sz w:val="21"/>
                      <w:szCs w:val="22"/>
                    </w:rPr>
                    <w:t>102.4</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2.9</w:t>
                  </w:r>
                </w:p>
              </w:tc>
              <w:tc>
                <w:tcPr>
                  <w:tcW w:w="1105" w:type="dxa"/>
                  <w:noWrap w:val="0"/>
                  <w:vAlign w:val="center"/>
                </w:tcPr>
                <w:p>
                  <w:pPr>
                    <w:jc w:val="center"/>
                    <w:rPr>
                      <w:rFonts w:hint="eastAsia" w:ascii="Times New Roman" w:cs="宋体"/>
                      <w:sz w:val="21"/>
                      <w:szCs w:val="21"/>
                    </w:rPr>
                  </w:pPr>
                  <w:r>
                    <w:rPr>
                      <w:rFonts w:hint="eastAsia" w:ascii="Times New Roman" w:cs="宋体"/>
                      <w:sz w:val="21"/>
                    </w:rPr>
                    <w:t>NE</w:t>
                  </w:r>
                </w:p>
              </w:tc>
              <w:tc>
                <w:tcPr>
                  <w:tcW w:w="1062" w:type="dxa"/>
                  <w:noWrap w:val="0"/>
                  <w:vAlign w:val="center"/>
                </w:tcPr>
                <w:p>
                  <w:pPr>
                    <w:pStyle w:val="52"/>
                    <w:rPr>
                      <w:rFonts w:hint="eastAsia" w:ascii="Times New Roman" w:cs="宋体"/>
                      <w:snapToGrid/>
                      <w:sz w:val="21"/>
                    </w:rPr>
                  </w:pPr>
                  <w:r>
                    <w:rPr>
                      <w:rFonts w:hint="eastAsia" w:ascii="Times New Roman" w:cs="宋体"/>
                      <w:snapToGrid/>
                      <w:sz w:val="21"/>
                    </w:rPr>
                    <w:t>3</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continue"/>
                  <w:tcBorders>
                    <w:left w:val="nil"/>
                    <w:right w:val="single" w:color="auto" w:sz="4" w:space="0"/>
                  </w:tcBorders>
                  <w:noWrap w:val="0"/>
                  <w:vAlign w:val="center"/>
                </w:tcPr>
                <w:p>
                  <w:pPr>
                    <w:pStyle w:val="52"/>
                    <w:rPr>
                      <w:rFonts w:ascii="Times New Roman" w:cs="宋体"/>
                      <w:snapToGrid/>
                      <w:sz w:val="21"/>
                    </w:rPr>
                  </w:pPr>
                </w:p>
              </w:tc>
              <w:tc>
                <w:tcPr>
                  <w:tcW w:w="1241" w:type="dxa"/>
                  <w:noWrap w:val="0"/>
                  <w:vAlign w:val="center"/>
                </w:tcPr>
                <w:p>
                  <w:pPr>
                    <w:adjustRightInd w:val="0"/>
                    <w:snapToGrid w:val="0"/>
                    <w:jc w:val="center"/>
                    <w:rPr>
                      <w:rFonts w:hint="eastAsia" w:ascii="Times New Roman" w:cs="宋体"/>
                      <w:sz w:val="21"/>
                    </w:rPr>
                  </w:pPr>
                  <w:r>
                    <w:rPr>
                      <w:rFonts w:hint="eastAsia" w:ascii="Times New Roman" w:cs="宋体"/>
                      <w:color w:val="auto"/>
                      <w:sz w:val="21"/>
                      <w:szCs w:val="21"/>
                    </w:rPr>
                    <w:t>第3次</w:t>
                  </w:r>
                </w:p>
              </w:tc>
              <w:tc>
                <w:tcPr>
                  <w:tcW w:w="1164" w:type="dxa"/>
                  <w:noWrap w:val="0"/>
                  <w:vAlign w:val="center"/>
                </w:tcPr>
                <w:p>
                  <w:pPr>
                    <w:widowControl/>
                    <w:jc w:val="center"/>
                    <w:textAlignment w:val="center"/>
                    <w:rPr>
                      <w:rFonts w:hint="eastAsia" w:ascii="Times New Roman" w:cs="宋体"/>
                      <w:sz w:val="21"/>
                    </w:rPr>
                  </w:pPr>
                  <w:r>
                    <w:rPr>
                      <w:rFonts w:hint="eastAsia" w:ascii="Times New Roman" w:cs="宋体"/>
                      <w:sz w:val="21"/>
                    </w:rPr>
                    <w:t>6.2</w:t>
                  </w:r>
                </w:p>
              </w:tc>
              <w:tc>
                <w:tcPr>
                  <w:tcW w:w="1228" w:type="dxa"/>
                  <w:noWrap w:val="0"/>
                  <w:vAlign w:val="center"/>
                </w:tcPr>
                <w:p>
                  <w:pPr>
                    <w:jc w:val="center"/>
                    <w:rPr>
                      <w:rFonts w:hint="eastAsia" w:ascii="Times New Roman" w:cs="宋体"/>
                      <w:sz w:val="21"/>
                      <w:szCs w:val="22"/>
                    </w:rPr>
                  </w:pPr>
                  <w:r>
                    <w:rPr>
                      <w:rFonts w:hint="eastAsia" w:ascii="Times New Roman" w:cs="宋体"/>
                      <w:sz w:val="21"/>
                      <w:szCs w:val="22"/>
                    </w:rPr>
                    <w:t>102.2</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2.9</w:t>
                  </w:r>
                </w:p>
              </w:tc>
              <w:tc>
                <w:tcPr>
                  <w:tcW w:w="1105" w:type="dxa"/>
                  <w:noWrap w:val="0"/>
                  <w:vAlign w:val="center"/>
                </w:tcPr>
                <w:p>
                  <w:pPr>
                    <w:jc w:val="center"/>
                    <w:rPr>
                      <w:rFonts w:hint="eastAsia" w:ascii="Times New Roman" w:cs="宋体"/>
                      <w:sz w:val="21"/>
                      <w:szCs w:val="21"/>
                    </w:rPr>
                  </w:pPr>
                  <w:r>
                    <w:rPr>
                      <w:rFonts w:hint="eastAsia" w:ascii="Times New Roman" w:cs="宋体"/>
                      <w:sz w:val="21"/>
                    </w:rPr>
                    <w:t>NE</w:t>
                  </w:r>
                </w:p>
              </w:tc>
              <w:tc>
                <w:tcPr>
                  <w:tcW w:w="1062" w:type="dxa"/>
                  <w:noWrap w:val="0"/>
                  <w:vAlign w:val="center"/>
                </w:tcPr>
                <w:p>
                  <w:pPr>
                    <w:pStyle w:val="52"/>
                    <w:rPr>
                      <w:rFonts w:ascii="Times New Roman" w:cs="宋体"/>
                      <w:snapToGrid/>
                      <w:sz w:val="21"/>
                    </w:rPr>
                  </w:pPr>
                  <w:r>
                    <w:rPr>
                      <w:rFonts w:hint="eastAsia" w:ascii="Times New Roman" w:cs="宋体"/>
                      <w:snapToGrid/>
                      <w:sz w:val="21"/>
                    </w:rPr>
                    <w:t>4</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continue"/>
                  <w:tcBorders>
                    <w:left w:val="nil"/>
                    <w:bottom w:val="single" w:color="auto" w:sz="6" w:space="0"/>
                    <w:right w:val="single" w:color="auto" w:sz="4" w:space="0"/>
                  </w:tcBorders>
                  <w:noWrap w:val="0"/>
                  <w:vAlign w:val="center"/>
                </w:tcPr>
                <w:p>
                  <w:pPr>
                    <w:pStyle w:val="52"/>
                    <w:rPr>
                      <w:rFonts w:ascii="Times New Roman" w:cs="宋体"/>
                      <w:snapToGrid/>
                      <w:sz w:val="21"/>
                    </w:rPr>
                  </w:pPr>
                </w:p>
              </w:tc>
              <w:tc>
                <w:tcPr>
                  <w:tcW w:w="1241" w:type="dxa"/>
                  <w:noWrap w:val="0"/>
                  <w:vAlign w:val="center"/>
                </w:tcPr>
                <w:p>
                  <w:pPr>
                    <w:adjustRightInd w:val="0"/>
                    <w:snapToGrid w:val="0"/>
                    <w:jc w:val="center"/>
                    <w:rPr>
                      <w:rFonts w:hint="eastAsia" w:ascii="Times New Roman" w:cs="宋体"/>
                      <w:sz w:val="21"/>
                    </w:rPr>
                  </w:pPr>
                  <w:r>
                    <w:rPr>
                      <w:rFonts w:hint="eastAsia" w:ascii="Times New Roman" w:cs="宋体"/>
                      <w:color w:val="auto"/>
                      <w:sz w:val="21"/>
                      <w:szCs w:val="21"/>
                    </w:rPr>
                    <w:t>第4次</w:t>
                  </w:r>
                </w:p>
              </w:tc>
              <w:tc>
                <w:tcPr>
                  <w:tcW w:w="1164" w:type="dxa"/>
                  <w:noWrap w:val="0"/>
                  <w:vAlign w:val="center"/>
                </w:tcPr>
                <w:p>
                  <w:pPr>
                    <w:widowControl/>
                    <w:jc w:val="center"/>
                    <w:textAlignment w:val="center"/>
                    <w:rPr>
                      <w:rFonts w:ascii="Times New Roman" w:cs="宋体"/>
                      <w:sz w:val="21"/>
                    </w:rPr>
                  </w:pPr>
                  <w:r>
                    <w:rPr>
                      <w:rFonts w:hint="eastAsia" w:ascii="Times New Roman" w:cs="宋体"/>
                      <w:sz w:val="21"/>
                    </w:rPr>
                    <w:t>6.3</w:t>
                  </w:r>
                </w:p>
              </w:tc>
              <w:tc>
                <w:tcPr>
                  <w:tcW w:w="1228" w:type="dxa"/>
                  <w:noWrap w:val="0"/>
                  <w:vAlign w:val="center"/>
                </w:tcPr>
                <w:p>
                  <w:pPr>
                    <w:jc w:val="center"/>
                    <w:rPr>
                      <w:rFonts w:hint="eastAsia" w:ascii="Times New Roman" w:cs="宋体"/>
                      <w:sz w:val="21"/>
                      <w:szCs w:val="22"/>
                    </w:rPr>
                  </w:pPr>
                  <w:r>
                    <w:rPr>
                      <w:rFonts w:hint="eastAsia" w:ascii="Times New Roman" w:cs="宋体"/>
                      <w:sz w:val="21"/>
                      <w:szCs w:val="22"/>
                    </w:rPr>
                    <w:t>102.2</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2.1</w:t>
                  </w:r>
                </w:p>
              </w:tc>
              <w:tc>
                <w:tcPr>
                  <w:tcW w:w="1105" w:type="dxa"/>
                  <w:noWrap w:val="0"/>
                  <w:vAlign w:val="center"/>
                </w:tcPr>
                <w:p>
                  <w:pPr>
                    <w:jc w:val="center"/>
                    <w:rPr>
                      <w:rFonts w:hint="eastAsia" w:ascii="Times New Roman" w:cs="宋体"/>
                      <w:sz w:val="21"/>
                    </w:rPr>
                  </w:pPr>
                  <w:r>
                    <w:rPr>
                      <w:rFonts w:hint="eastAsia" w:ascii="Times New Roman" w:cs="宋体"/>
                      <w:sz w:val="21"/>
                    </w:rPr>
                    <w:t>NE</w:t>
                  </w:r>
                </w:p>
              </w:tc>
              <w:tc>
                <w:tcPr>
                  <w:tcW w:w="1062" w:type="dxa"/>
                  <w:noWrap w:val="0"/>
                  <w:vAlign w:val="center"/>
                </w:tcPr>
                <w:p>
                  <w:pPr>
                    <w:pStyle w:val="52"/>
                    <w:rPr>
                      <w:rFonts w:ascii="Times New Roman" w:cs="宋体"/>
                      <w:snapToGrid/>
                      <w:sz w:val="21"/>
                    </w:rPr>
                  </w:pPr>
                  <w:r>
                    <w:rPr>
                      <w:rFonts w:hint="eastAsia" w:ascii="Times New Roman" w:cs="宋体"/>
                      <w:snapToGrid/>
                      <w:sz w:val="21"/>
                    </w:rPr>
                    <w:t>4</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restart"/>
                  <w:tcBorders>
                    <w:top w:val="single" w:color="auto" w:sz="6" w:space="0"/>
                    <w:left w:val="nil"/>
                    <w:bottom w:val="double" w:color="auto" w:sz="4" w:space="0"/>
                  </w:tcBorders>
                  <w:noWrap w:val="0"/>
                  <w:vAlign w:val="center"/>
                </w:tcPr>
                <w:p>
                  <w:pPr>
                    <w:pStyle w:val="52"/>
                    <w:rPr>
                      <w:rFonts w:hint="eastAsia" w:ascii="Times New Roman" w:cs="宋体"/>
                      <w:snapToGrid/>
                      <w:sz w:val="21"/>
                    </w:rPr>
                  </w:pPr>
                  <w:r>
                    <w:rPr>
                      <w:rFonts w:hint="eastAsia" w:ascii="Times New Roman" w:cs="宋体"/>
                      <w:color w:val="auto"/>
                      <w:sz w:val="21"/>
                    </w:rPr>
                    <w:t>2019.11.26</w:t>
                  </w:r>
                </w:p>
              </w:tc>
              <w:tc>
                <w:tcPr>
                  <w:tcW w:w="1241" w:type="dxa"/>
                  <w:noWrap w:val="0"/>
                  <w:vAlign w:val="center"/>
                </w:tcPr>
                <w:p>
                  <w:pPr>
                    <w:tabs>
                      <w:tab w:val="left" w:pos="9795"/>
                    </w:tabs>
                    <w:jc w:val="center"/>
                    <w:rPr>
                      <w:rFonts w:ascii="Times New Roman" w:cs="宋体"/>
                      <w:sz w:val="21"/>
                    </w:rPr>
                  </w:pPr>
                  <w:r>
                    <w:rPr>
                      <w:rFonts w:hint="eastAsia" w:ascii="Times New Roman" w:cs="宋体"/>
                      <w:color w:val="auto"/>
                      <w:sz w:val="21"/>
                      <w:szCs w:val="21"/>
                    </w:rPr>
                    <w:t>第1次</w:t>
                  </w:r>
                </w:p>
              </w:tc>
              <w:tc>
                <w:tcPr>
                  <w:tcW w:w="1164" w:type="dxa"/>
                  <w:noWrap w:val="0"/>
                  <w:vAlign w:val="center"/>
                </w:tcPr>
                <w:p>
                  <w:pPr>
                    <w:widowControl/>
                    <w:jc w:val="center"/>
                    <w:textAlignment w:val="center"/>
                    <w:rPr>
                      <w:rFonts w:hint="eastAsia" w:ascii="Times New Roman" w:cs="宋体"/>
                      <w:sz w:val="21"/>
                    </w:rPr>
                  </w:pPr>
                  <w:r>
                    <w:rPr>
                      <w:rFonts w:hint="eastAsia" w:ascii="Times New Roman" w:cs="宋体"/>
                      <w:sz w:val="21"/>
                    </w:rPr>
                    <w:t>5.8</w:t>
                  </w:r>
                </w:p>
              </w:tc>
              <w:tc>
                <w:tcPr>
                  <w:tcW w:w="1228" w:type="dxa"/>
                  <w:noWrap w:val="0"/>
                  <w:vAlign w:val="center"/>
                </w:tcPr>
                <w:p>
                  <w:pPr>
                    <w:jc w:val="center"/>
                    <w:rPr>
                      <w:rFonts w:hint="eastAsia" w:ascii="Times New Roman" w:cs="宋体"/>
                      <w:sz w:val="21"/>
                      <w:szCs w:val="22"/>
                    </w:rPr>
                  </w:pPr>
                  <w:r>
                    <w:rPr>
                      <w:rFonts w:hint="eastAsia" w:ascii="Times New Roman" w:cs="宋体"/>
                      <w:sz w:val="21"/>
                      <w:szCs w:val="22"/>
                    </w:rPr>
                    <w:t>102.4</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2.2</w:t>
                  </w:r>
                </w:p>
              </w:tc>
              <w:tc>
                <w:tcPr>
                  <w:tcW w:w="1105" w:type="dxa"/>
                  <w:noWrap w:val="0"/>
                  <w:vAlign w:val="center"/>
                </w:tcPr>
                <w:p>
                  <w:pPr>
                    <w:jc w:val="center"/>
                    <w:rPr>
                      <w:rFonts w:hint="eastAsia" w:ascii="Times New Roman" w:cs="宋体"/>
                      <w:sz w:val="21"/>
                    </w:rPr>
                  </w:pPr>
                  <w:r>
                    <w:rPr>
                      <w:rFonts w:hint="eastAsia" w:ascii="Times New Roman" w:cs="宋体"/>
                      <w:sz w:val="21"/>
                    </w:rPr>
                    <w:t>SE</w:t>
                  </w:r>
                </w:p>
              </w:tc>
              <w:tc>
                <w:tcPr>
                  <w:tcW w:w="1062" w:type="dxa"/>
                  <w:noWrap w:val="0"/>
                  <w:vAlign w:val="center"/>
                </w:tcPr>
                <w:p>
                  <w:pPr>
                    <w:pStyle w:val="52"/>
                    <w:rPr>
                      <w:rFonts w:hint="eastAsia" w:ascii="Times New Roman" w:cs="宋体"/>
                      <w:snapToGrid/>
                      <w:sz w:val="21"/>
                    </w:rPr>
                  </w:pPr>
                  <w:r>
                    <w:rPr>
                      <w:rFonts w:hint="eastAsia" w:ascii="Times New Roman" w:cs="宋体"/>
                      <w:snapToGrid/>
                      <w:sz w:val="21"/>
                    </w:rPr>
                    <w:t>6</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continue"/>
                  <w:tcBorders>
                    <w:top w:val="single" w:color="auto" w:sz="6" w:space="0"/>
                    <w:left w:val="nil"/>
                    <w:bottom w:val="double" w:color="auto" w:sz="4" w:space="0"/>
                  </w:tcBorders>
                  <w:noWrap w:val="0"/>
                  <w:vAlign w:val="center"/>
                </w:tcPr>
                <w:p>
                  <w:pPr>
                    <w:pStyle w:val="52"/>
                    <w:rPr>
                      <w:rFonts w:ascii="Times New Roman" w:cs="宋体"/>
                      <w:snapToGrid/>
                      <w:sz w:val="21"/>
                    </w:rPr>
                  </w:pPr>
                </w:p>
              </w:tc>
              <w:tc>
                <w:tcPr>
                  <w:tcW w:w="1241" w:type="dxa"/>
                  <w:noWrap w:val="0"/>
                  <w:vAlign w:val="center"/>
                </w:tcPr>
                <w:p>
                  <w:pPr>
                    <w:adjustRightInd w:val="0"/>
                    <w:snapToGrid w:val="0"/>
                    <w:jc w:val="center"/>
                    <w:rPr>
                      <w:rFonts w:ascii="Times New Roman" w:cs="宋体"/>
                      <w:sz w:val="21"/>
                    </w:rPr>
                  </w:pPr>
                  <w:r>
                    <w:rPr>
                      <w:rFonts w:hint="eastAsia" w:ascii="Times New Roman" w:cs="宋体"/>
                      <w:color w:val="auto"/>
                      <w:sz w:val="21"/>
                      <w:szCs w:val="21"/>
                    </w:rPr>
                    <w:t>第2次</w:t>
                  </w:r>
                </w:p>
              </w:tc>
              <w:tc>
                <w:tcPr>
                  <w:tcW w:w="1164" w:type="dxa"/>
                  <w:noWrap w:val="0"/>
                  <w:vAlign w:val="center"/>
                </w:tcPr>
                <w:p>
                  <w:pPr>
                    <w:widowControl/>
                    <w:jc w:val="center"/>
                    <w:textAlignment w:val="center"/>
                    <w:rPr>
                      <w:rFonts w:hint="eastAsia" w:ascii="Times New Roman" w:cs="宋体"/>
                      <w:sz w:val="21"/>
                    </w:rPr>
                  </w:pPr>
                  <w:r>
                    <w:rPr>
                      <w:rFonts w:hint="eastAsia" w:ascii="Times New Roman" w:cs="宋体"/>
                      <w:sz w:val="21"/>
                    </w:rPr>
                    <w:t>6.6</w:t>
                  </w:r>
                </w:p>
              </w:tc>
              <w:tc>
                <w:tcPr>
                  <w:tcW w:w="1228" w:type="dxa"/>
                  <w:noWrap w:val="0"/>
                  <w:vAlign w:val="center"/>
                </w:tcPr>
                <w:p>
                  <w:pPr>
                    <w:jc w:val="center"/>
                    <w:rPr>
                      <w:rFonts w:hint="eastAsia" w:ascii="Times New Roman" w:cs="宋体"/>
                      <w:sz w:val="21"/>
                      <w:szCs w:val="22"/>
                    </w:rPr>
                  </w:pPr>
                  <w:r>
                    <w:rPr>
                      <w:rFonts w:hint="eastAsia" w:ascii="Times New Roman" w:cs="宋体"/>
                      <w:sz w:val="21"/>
                      <w:szCs w:val="22"/>
                    </w:rPr>
                    <w:t>102.3</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2.5</w:t>
                  </w:r>
                </w:p>
              </w:tc>
              <w:tc>
                <w:tcPr>
                  <w:tcW w:w="1105" w:type="dxa"/>
                  <w:noWrap w:val="0"/>
                  <w:vAlign w:val="center"/>
                </w:tcPr>
                <w:p>
                  <w:pPr>
                    <w:jc w:val="center"/>
                    <w:rPr>
                      <w:rFonts w:hint="eastAsia" w:ascii="Times New Roman" w:cs="宋体"/>
                      <w:sz w:val="21"/>
                      <w:szCs w:val="21"/>
                    </w:rPr>
                  </w:pPr>
                  <w:r>
                    <w:rPr>
                      <w:rFonts w:hint="eastAsia" w:ascii="Times New Roman" w:cs="宋体"/>
                      <w:sz w:val="21"/>
                    </w:rPr>
                    <w:t>SE</w:t>
                  </w:r>
                </w:p>
              </w:tc>
              <w:tc>
                <w:tcPr>
                  <w:tcW w:w="1062" w:type="dxa"/>
                  <w:noWrap w:val="0"/>
                  <w:vAlign w:val="center"/>
                </w:tcPr>
                <w:p>
                  <w:pPr>
                    <w:pStyle w:val="52"/>
                    <w:rPr>
                      <w:rFonts w:hint="eastAsia" w:ascii="Times New Roman" w:cs="宋体"/>
                      <w:snapToGrid/>
                      <w:sz w:val="21"/>
                    </w:rPr>
                  </w:pPr>
                  <w:r>
                    <w:rPr>
                      <w:rFonts w:hint="eastAsia" w:ascii="Times New Roman" w:cs="宋体"/>
                      <w:snapToGrid/>
                      <w:sz w:val="21"/>
                    </w:rPr>
                    <w:t>4</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continue"/>
                  <w:tcBorders>
                    <w:top w:val="single" w:color="auto" w:sz="6" w:space="0"/>
                    <w:left w:val="nil"/>
                    <w:bottom w:val="double" w:color="auto" w:sz="4" w:space="0"/>
                  </w:tcBorders>
                  <w:noWrap w:val="0"/>
                  <w:vAlign w:val="center"/>
                </w:tcPr>
                <w:p>
                  <w:pPr>
                    <w:pStyle w:val="52"/>
                    <w:rPr>
                      <w:rFonts w:ascii="Times New Roman" w:cs="宋体"/>
                      <w:snapToGrid/>
                      <w:sz w:val="21"/>
                    </w:rPr>
                  </w:pPr>
                </w:p>
              </w:tc>
              <w:tc>
                <w:tcPr>
                  <w:tcW w:w="1241" w:type="dxa"/>
                  <w:noWrap w:val="0"/>
                  <w:vAlign w:val="center"/>
                </w:tcPr>
                <w:p>
                  <w:pPr>
                    <w:adjustRightInd w:val="0"/>
                    <w:snapToGrid w:val="0"/>
                    <w:jc w:val="center"/>
                    <w:rPr>
                      <w:rFonts w:hint="eastAsia" w:ascii="Times New Roman" w:cs="宋体"/>
                      <w:sz w:val="21"/>
                    </w:rPr>
                  </w:pPr>
                  <w:r>
                    <w:rPr>
                      <w:rFonts w:hint="eastAsia" w:ascii="Times New Roman" w:cs="宋体"/>
                      <w:color w:val="auto"/>
                      <w:sz w:val="21"/>
                      <w:szCs w:val="21"/>
                    </w:rPr>
                    <w:t>第3次</w:t>
                  </w:r>
                </w:p>
              </w:tc>
              <w:tc>
                <w:tcPr>
                  <w:tcW w:w="1164" w:type="dxa"/>
                  <w:noWrap w:val="0"/>
                  <w:vAlign w:val="center"/>
                </w:tcPr>
                <w:p>
                  <w:pPr>
                    <w:widowControl/>
                    <w:jc w:val="center"/>
                    <w:textAlignment w:val="center"/>
                    <w:rPr>
                      <w:rFonts w:ascii="Times New Roman" w:cs="宋体"/>
                      <w:sz w:val="21"/>
                    </w:rPr>
                  </w:pPr>
                  <w:r>
                    <w:rPr>
                      <w:rFonts w:hint="eastAsia" w:ascii="Times New Roman" w:cs="宋体"/>
                      <w:sz w:val="21"/>
                    </w:rPr>
                    <w:t>8.8</w:t>
                  </w:r>
                </w:p>
              </w:tc>
              <w:tc>
                <w:tcPr>
                  <w:tcW w:w="1228" w:type="dxa"/>
                  <w:noWrap w:val="0"/>
                  <w:vAlign w:val="center"/>
                </w:tcPr>
                <w:p>
                  <w:pPr>
                    <w:jc w:val="center"/>
                    <w:rPr>
                      <w:rFonts w:hint="eastAsia" w:ascii="Times New Roman" w:cs="宋体"/>
                      <w:sz w:val="21"/>
                      <w:szCs w:val="22"/>
                    </w:rPr>
                  </w:pPr>
                  <w:r>
                    <w:rPr>
                      <w:rFonts w:hint="eastAsia" w:ascii="Times New Roman" w:cs="宋体"/>
                      <w:sz w:val="21"/>
                      <w:szCs w:val="22"/>
                    </w:rPr>
                    <w:t>102.2</w:t>
                  </w:r>
                </w:p>
              </w:tc>
              <w:tc>
                <w:tcPr>
                  <w:tcW w:w="1073" w:type="dxa"/>
                  <w:noWrap w:val="0"/>
                  <w:vAlign w:val="center"/>
                </w:tcPr>
                <w:p>
                  <w:pPr>
                    <w:pStyle w:val="52"/>
                    <w:rPr>
                      <w:rFonts w:hint="eastAsia" w:ascii="Times New Roman" w:cs="宋体"/>
                      <w:snapToGrid/>
                      <w:sz w:val="21"/>
                      <w:szCs w:val="22"/>
                    </w:rPr>
                  </w:pPr>
                  <w:r>
                    <w:rPr>
                      <w:rFonts w:hint="eastAsia" w:ascii="Times New Roman" w:cs="宋体"/>
                      <w:snapToGrid/>
                      <w:sz w:val="21"/>
                      <w:szCs w:val="22"/>
                    </w:rPr>
                    <w:t>2.3</w:t>
                  </w:r>
                </w:p>
              </w:tc>
              <w:tc>
                <w:tcPr>
                  <w:tcW w:w="1105" w:type="dxa"/>
                  <w:noWrap w:val="0"/>
                  <w:vAlign w:val="center"/>
                </w:tcPr>
                <w:p>
                  <w:pPr>
                    <w:jc w:val="center"/>
                    <w:rPr>
                      <w:rFonts w:hint="eastAsia" w:ascii="Times New Roman" w:cs="宋体"/>
                      <w:sz w:val="21"/>
                    </w:rPr>
                  </w:pPr>
                  <w:r>
                    <w:rPr>
                      <w:rFonts w:hint="eastAsia" w:ascii="Times New Roman" w:cs="宋体"/>
                      <w:sz w:val="21"/>
                    </w:rPr>
                    <w:t>SE</w:t>
                  </w:r>
                </w:p>
              </w:tc>
              <w:tc>
                <w:tcPr>
                  <w:tcW w:w="1062" w:type="dxa"/>
                  <w:noWrap w:val="0"/>
                  <w:vAlign w:val="center"/>
                </w:tcPr>
                <w:p>
                  <w:pPr>
                    <w:pStyle w:val="52"/>
                    <w:rPr>
                      <w:rFonts w:hint="eastAsia" w:ascii="Times New Roman" w:cs="宋体"/>
                      <w:snapToGrid/>
                      <w:sz w:val="21"/>
                    </w:rPr>
                  </w:pPr>
                  <w:r>
                    <w:rPr>
                      <w:rFonts w:hint="eastAsia" w:ascii="Times New Roman" w:cs="宋体"/>
                      <w:snapToGrid/>
                      <w:sz w:val="21"/>
                    </w:rPr>
                    <w:t>5</w:t>
                  </w:r>
                </w:p>
              </w:tc>
              <w:tc>
                <w:tcPr>
                  <w:tcW w:w="1005" w:type="dxa"/>
                  <w:tcBorders>
                    <w:top w:val="single" w:color="auto" w:sz="6" w:space="0"/>
                    <w:bottom w:val="single" w:color="auto" w:sz="6"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408" w:type="dxa"/>
                  <w:vMerge w:val="continue"/>
                  <w:tcBorders>
                    <w:top w:val="single" w:color="auto" w:sz="6" w:space="0"/>
                    <w:left w:val="nil"/>
                    <w:bottom w:val="double" w:color="auto" w:sz="4" w:space="0"/>
                  </w:tcBorders>
                  <w:noWrap w:val="0"/>
                  <w:vAlign w:val="center"/>
                </w:tcPr>
                <w:p>
                  <w:pPr>
                    <w:pStyle w:val="52"/>
                    <w:rPr>
                      <w:rFonts w:ascii="Times New Roman" w:cs="宋体"/>
                      <w:snapToGrid/>
                      <w:sz w:val="21"/>
                    </w:rPr>
                  </w:pPr>
                </w:p>
              </w:tc>
              <w:tc>
                <w:tcPr>
                  <w:tcW w:w="1241" w:type="dxa"/>
                  <w:tcBorders>
                    <w:bottom w:val="double" w:color="auto" w:sz="4" w:space="0"/>
                  </w:tcBorders>
                  <w:noWrap w:val="0"/>
                  <w:vAlign w:val="center"/>
                </w:tcPr>
                <w:p>
                  <w:pPr>
                    <w:adjustRightInd w:val="0"/>
                    <w:snapToGrid w:val="0"/>
                    <w:jc w:val="center"/>
                    <w:rPr>
                      <w:rFonts w:ascii="Times New Roman" w:cs="宋体"/>
                      <w:sz w:val="21"/>
                    </w:rPr>
                  </w:pPr>
                  <w:r>
                    <w:rPr>
                      <w:rFonts w:hint="eastAsia" w:ascii="Times New Roman" w:cs="宋体"/>
                      <w:color w:val="auto"/>
                      <w:sz w:val="21"/>
                      <w:szCs w:val="21"/>
                    </w:rPr>
                    <w:t>第4次</w:t>
                  </w:r>
                </w:p>
              </w:tc>
              <w:tc>
                <w:tcPr>
                  <w:tcW w:w="1164" w:type="dxa"/>
                  <w:tcBorders>
                    <w:bottom w:val="double" w:color="auto" w:sz="4" w:space="0"/>
                  </w:tcBorders>
                  <w:noWrap w:val="0"/>
                  <w:vAlign w:val="center"/>
                </w:tcPr>
                <w:p>
                  <w:pPr>
                    <w:widowControl/>
                    <w:jc w:val="center"/>
                    <w:textAlignment w:val="center"/>
                    <w:rPr>
                      <w:rFonts w:hint="eastAsia" w:ascii="Times New Roman" w:cs="宋体"/>
                      <w:sz w:val="21"/>
                    </w:rPr>
                  </w:pPr>
                  <w:r>
                    <w:rPr>
                      <w:rFonts w:hint="eastAsia" w:ascii="Times New Roman" w:cs="宋体"/>
                      <w:sz w:val="21"/>
                    </w:rPr>
                    <w:t>8.1</w:t>
                  </w:r>
                </w:p>
              </w:tc>
              <w:tc>
                <w:tcPr>
                  <w:tcW w:w="1228" w:type="dxa"/>
                  <w:tcBorders>
                    <w:bottom w:val="double" w:color="auto" w:sz="4" w:space="0"/>
                  </w:tcBorders>
                  <w:noWrap w:val="0"/>
                  <w:vAlign w:val="center"/>
                </w:tcPr>
                <w:p>
                  <w:pPr>
                    <w:jc w:val="center"/>
                    <w:rPr>
                      <w:rFonts w:hint="eastAsia" w:ascii="Times New Roman" w:cs="宋体"/>
                      <w:sz w:val="21"/>
                      <w:szCs w:val="22"/>
                    </w:rPr>
                  </w:pPr>
                  <w:r>
                    <w:rPr>
                      <w:rFonts w:hint="eastAsia" w:ascii="Times New Roman" w:cs="宋体"/>
                      <w:sz w:val="21"/>
                      <w:szCs w:val="22"/>
                    </w:rPr>
                    <w:t>102.2</w:t>
                  </w:r>
                </w:p>
              </w:tc>
              <w:tc>
                <w:tcPr>
                  <w:tcW w:w="1073" w:type="dxa"/>
                  <w:tcBorders>
                    <w:bottom w:val="double" w:color="auto" w:sz="4" w:space="0"/>
                  </w:tcBorders>
                  <w:noWrap w:val="0"/>
                  <w:vAlign w:val="center"/>
                </w:tcPr>
                <w:p>
                  <w:pPr>
                    <w:pStyle w:val="52"/>
                    <w:rPr>
                      <w:rFonts w:hint="eastAsia" w:ascii="Times New Roman" w:cs="宋体"/>
                      <w:snapToGrid/>
                      <w:sz w:val="21"/>
                      <w:szCs w:val="22"/>
                    </w:rPr>
                  </w:pPr>
                  <w:r>
                    <w:rPr>
                      <w:rFonts w:hint="eastAsia" w:ascii="Times New Roman" w:cs="宋体"/>
                      <w:snapToGrid/>
                      <w:sz w:val="21"/>
                      <w:szCs w:val="22"/>
                    </w:rPr>
                    <w:t>2.0</w:t>
                  </w:r>
                </w:p>
              </w:tc>
              <w:tc>
                <w:tcPr>
                  <w:tcW w:w="1105" w:type="dxa"/>
                  <w:tcBorders>
                    <w:bottom w:val="double" w:color="auto" w:sz="4" w:space="0"/>
                  </w:tcBorders>
                  <w:noWrap w:val="0"/>
                  <w:vAlign w:val="center"/>
                </w:tcPr>
                <w:p>
                  <w:pPr>
                    <w:jc w:val="center"/>
                    <w:rPr>
                      <w:rFonts w:hint="eastAsia" w:ascii="Times New Roman" w:cs="宋体"/>
                      <w:sz w:val="21"/>
                      <w:szCs w:val="21"/>
                    </w:rPr>
                  </w:pPr>
                  <w:r>
                    <w:rPr>
                      <w:rFonts w:hint="eastAsia" w:ascii="Times New Roman" w:cs="宋体"/>
                      <w:sz w:val="21"/>
                    </w:rPr>
                    <w:t>SE</w:t>
                  </w:r>
                </w:p>
              </w:tc>
              <w:tc>
                <w:tcPr>
                  <w:tcW w:w="1062" w:type="dxa"/>
                  <w:tcBorders>
                    <w:bottom w:val="double" w:color="auto" w:sz="4" w:space="0"/>
                  </w:tcBorders>
                  <w:noWrap w:val="0"/>
                  <w:vAlign w:val="center"/>
                </w:tcPr>
                <w:p>
                  <w:pPr>
                    <w:pStyle w:val="52"/>
                    <w:rPr>
                      <w:rFonts w:hint="eastAsia" w:ascii="Times New Roman" w:cs="宋体"/>
                      <w:snapToGrid/>
                      <w:sz w:val="21"/>
                    </w:rPr>
                  </w:pPr>
                  <w:r>
                    <w:rPr>
                      <w:rFonts w:hint="eastAsia" w:ascii="Times New Roman" w:cs="宋体"/>
                      <w:snapToGrid/>
                      <w:sz w:val="21"/>
                    </w:rPr>
                    <w:t>5</w:t>
                  </w:r>
                </w:p>
              </w:tc>
              <w:tc>
                <w:tcPr>
                  <w:tcW w:w="1005" w:type="dxa"/>
                  <w:tcBorders>
                    <w:top w:val="single" w:color="auto" w:sz="6" w:space="0"/>
                    <w:bottom w:val="double" w:color="auto" w:sz="4" w:space="0"/>
                    <w:right w:val="nil"/>
                  </w:tcBorders>
                  <w:noWrap w:val="0"/>
                  <w:vAlign w:val="center"/>
                </w:tcPr>
                <w:p>
                  <w:pPr>
                    <w:pStyle w:val="52"/>
                    <w:rPr>
                      <w:rFonts w:hint="eastAsia" w:ascii="Times New Roman" w:cs="宋体"/>
                      <w:snapToGrid/>
                      <w:sz w:val="21"/>
                    </w:rPr>
                  </w:pPr>
                  <w:r>
                    <w:rPr>
                      <w:rFonts w:hint="eastAsia" w:ascii="Times New Roman" w:cs="宋体"/>
                      <w:snapToGrid/>
                      <w:sz w:val="21"/>
                    </w:rPr>
                    <w:t>3</w:t>
                  </w:r>
                </w:p>
              </w:tc>
            </w:tr>
          </w:tbl>
          <w:p>
            <w:pPr>
              <w:numPr>
                <w:ilvl w:val="0"/>
                <w:numId w:val="0"/>
              </w:numPr>
              <w:wordWrap w:val="0"/>
              <w:spacing w:before="0" w:after="0" w:line="240" w:lineRule="auto"/>
              <w:ind w:right="0" w:firstLine="0"/>
              <w:jc w:val="center"/>
              <w:rPr>
                <w:rFonts w:hint="default" w:ascii="宋体" w:hAnsi="宋体" w:eastAsia="宋体"/>
                <w:color w:val="auto"/>
                <w:position w:val="0"/>
                <w:sz w:val="20"/>
                <w:szCs w:val="20"/>
              </w:rPr>
            </w:pPr>
          </w:p>
        </w:tc>
      </w:tr>
    </w:tbl>
    <w:p>
      <w:pPr>
        <w:numPr>
          <w:ilvl w:val="0"/>
          <w:numId w:val="0"/>
        </w:numPr>
        <w:wordWrap w:val="0"/>
        <w:spacing w:before="0" w:after="0" w:line="240" w:lineRule="auto"/>
        <w:ind w:right="0" w:firstLine="0"/>
        <w:jc w:val="center"/>
        <w:rPr>
          <w:rFonts w:hint="default" w:ascii="宋体" w:hAnsi="宋体" w:eastAsia="宋体"/>
          <w:color w:val="000000"/>
          <w:position w:val="0"/>
          <w:sz w:val="24"/>
          <w:szCs w:val="24"/>
        </w:rPr>
        <w:sectPr>
          <w:pgSz w:w="11906" w:h="16838"/>
          <w:pgMar w:top="1440" w:right="1800" w:bottom="1440" w:left="1800" w:header="708" w:footer="708" w:gutter="0"/>
          <w:pgNumType w:fmt="numberInDash"/>
          <w:docGrid w:linePitch="360" w:charSpace="0"/>
        </w:sectPr>
      </w:pPr>
    </w:p>
    <w:p>
      <w:pPr>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34" w:name="_Toc15741"/>
      <w:r>
        <w:rPr>
          <w:rFonts w:hint="default" w:ascii="宋体" w:hAnsi="宋体" w:eastAsia="宋体"/>
          <w:b/>
          <w:color w:val="auto"/>
          <w:position w:val="0"/>
          <w:sz w:val="24"/>
          <w:szCs w:val="24"/>
        </w:rPr>
        <w:t>表八</w:t>
      </w:r>
      <w:bookmarkEnd w:id="34"/>
    </w:p>
    <w:tbl>
      <w:tblPr>
        <w:tblStyle w:val="33"/>
        <w:tblW w:w="8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82" w:hRule="atLeast"/>
          <w:jc w:val="center"/>
        </w:trPr>
        <w:tc>
          <w:tcPr>
            <w:tcW w:w="8924" w:type="dxa"/>
            <w:vAlign w:val="top"/>
          </w:tcPr>
          <w:p>
            <w:pPr>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35" w:name="_Toc8777"/>
            <w:bookmarkStart w:id="36" w:name="_Toc21566"/>
            <w:bookmarkStart w:id="37" w:name="_Toc31358"/>
            <w:r>
              <w:rPr>
                <w:rFonts w:hint="default" w:ascii="宋体" w:hAnsi="宋体" w:eastAsia="宋体"/>
                <w:b/>
                <w:color w:val="auto"/>
                <w:position w:val="0"/>
                <w:sz w:val="24"/>
                <w:szCs w:val="24"/>
              </w:rPr>
              <w:t>验收监测结论：</w:t>
            </w:r>
            <w:bookmarkEnd w:id="35"/>
            <w:bookmarkEnd w:id="36"/>
            <w:bookmarkEnd w:id="37"/>
          </w:p>
          <w:p>
            <w:pPr>
              <w:pageBreakBefore w:val="0"/>
              <w:numPr>
                <w:ilvl w:val="0"/>
                <w:numId w:val="4"/>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 xml:space="preserve">年产40吨发制品项目(一期）年产20吨发制品 </w:t>
            </w:r>
            <w:r>
              <w:rPr>
                <w:rFonts w:hint="eastAsia" w:ascii="宋体" w:hAnsi="宋体" w:eastAsia="宋体"/>
                <w:color w:val="auto"/>
                <w:position w:val="0"/>
                <w:sz w:val="24"/>
                <w:szCs w:val="24"/>
                <w:lang w:eastAsia="zh-CN"/>
              </w:rPr>
              <w:t>建设项目</w:t>
            </w:r>
            <w:r>
              <w:rPr>
                <w:rFonts w:hint="default" w:ascii="宋体" w:hAnsi="宋体" w:eastAsia="宋体"/>
                <w:color w:val="auto"/>
                <w:position w:val="0"/>
                <w:sz w:val="24"/>
                <w:szCs w:val="24"/>
                <w:shd w:val="clear" w:color="000000"/>
              </w:rPr>
              <w:t>建设选址位于</w:t>
            </w:r>
            <w:r>
              <w:rPr>
                <w:rFonts w:hint="eastAsia" w:ascii="宋体" w:hAnsi="宋体" w:eastAsia="宋体"/>
                <w:color w:val="auto"/>
                <w:position w:val="0"/>
                <w:sz w:val="24"/>
                <w:szCs w:val="24"/>
                <w:lang w:val="en-US" w:eastAsia="zh-CN"/>
              </w:rPr>
              <w:t>山东省菏泽市鄄城县永定路与北环路交叉口南200米路东</w:t>
            </w:r>
            <w:r>
              <w:rPr>
                <w:rFonts w:hint="default" w:ascii="宋体" w:hAnsi="宋体" w:eastAsia="宋体"/>
                <w:color w:val="auto"/>
                <w:position w:val="0"/>
                <w:sz w:val="24"/>
                <w:szCs w:val="24"/>
                <w:shd w:val="clear" w:color="000000"/>
              </w:rPr>
              <w:t>，201</w:t>
            </w:r>
            <w:r>
              <w:rPr>
                <w:rFonts w:hint="eastAsia" w:ascii="宋体" w:hAnsi="宋体" w:eastAsia="宋体"/>
                <w:color w:val="auto"/>
                <w:position w:val="0"/>
                <w:sz w:val="24"/>
                <w:szCs w:val="24"/>
                <w:shd w:val="clear" w:color="000000"/>
                <w:lang w:val="en-US" w:eastAsia="zh-CN"/>
              </w:rPr>
              <w:t>8</w:t>
            </w:r>
            <w:r>
              <w:rPr>
                <w:rFonts w:hint="default" w:ascii="宋体" w:hAnsi="宋体" w:eastAsia="宋体"/>
                <w:color w:val="auto"/>
                <w:position w:val="0"/>
                <w:sz w:val="24"/>
                <w:szCs w:val="24"/>
                <w:shd w:val="clear" w:color="000000"/>
              </w:rPr>
              <w:t>年0</w:t>
            </w:r>
            <w:r>
              <w:rPr>
                <w:rFonts w:hint="eastAsia" w:ascii="宋体" w:hAnsi="宋体" w:eastAsia="宋体"/>
                <w:color w:val="auto"/>
                <w:position w:val="0"/>
                <w:sz w:val="24"/>
                <w:szCs w:val="24"/>
                <w:shd w:val="clear" w:color="000000"/>
                <w:lang w:val="en-US" w:eastAsia="zh-CN"/>
              </w:rPr>
              <w:t>9</w:t>
            </w:r>
            <w:r>
              <w:rPr>
                <w:rFonts w:hint="default" w:ascii="宋体" w:hAnsi="宋体" w:eastAsia="宋体"/>
                <w:color w:val="auto"/>
                <w:position w:val="0"/>
                <w:sz w:val="24"/>
                <w:szCs w:val="24"/>
                <w:shd w:val="clear" w:color="000000"/>
              </w:rPr>
              <w:t>月，</w:t>
            </w:r>
            <w:r>
              <w:rPr>
                <w:rFonts w:hint="eastAsia" w:ascii="宋体" w:hAnsi="宋体" w:eastAsia="宋体"/>
                <w:color w:val="auto"/>
                <w:position w:val="0"/>
                <w:sz w:val="24"/>
                <w:szCs w:val="24"/>
                <w:lang w:val="en-US" w:eastAsia="zh-CN"/>
              </w:rPr>
              <w:t>菏泽鼎侨发制品有限公司</w:t>
            </w:r>
            <w:r>
              <w:rPr>
                <w:rFonts w:hint="default" w:ascii="宋体" w:hAnsi="宋体" w:eastAsia="宋体"/>
                <w:color w:val="auto"/>
                <w:position w:val="0"/>
                <w:sz w:val="24"/>
                <w:szCs w:val="24"/>
                <w:shd w:val="clear" w:color="000000"/>
              </w:rPr>
              <w:t>根据《中华人民共和国环境影响评价法》及《建设项目环境保护管理条例》中相关规定，委托</w:t>
            </w:r>
            <w:r>
              <w:rPr>
                <w:rFonts w:hint="eastAsia" w:ascii="Times New Roman" w:hAnsi="宋体" w:eastAsia="宋体"/>
                <w:color w:val="auto"/>
                <w:position w:val="0"/>
                <w:sz w:val="24"/>
                <w:szCs w:val="24"/>
                <w:lang w:val="en-US" w:eastAsia="zh-CN"/>
              </w:rPr>
              <w:t>山东新达工程设计有限公司</w:t>
            </w:r>
            <w:r>
              <w:rPr>
                <w:rFonts w:hint="default" w:ascii="宋体" w:hAnsi="宋体" w:eastAsia="宋体"/>
                <w:color w:val="auto"/>
                <w:position w:val="0"/>
                <w:sz w:val="24"/>
                <w:szCs w:val="24"/>
                <w:shd w:val="clear" w:color="000000"/>
              </w:rPr>
              <w:t>编制完成了《</w:t>
            </w: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 xml:space="preserve">年产40吨发制品项目 </w:t>
            </w:r>
            <w:r>
              <w:rPr>
                <w:rFonts w:hint="default" w:ascii="宋体" w:hAnsi="宋体" w:eastAsia="宋体"/>
                <w:color w:val="auto"/>
                <w:position w:val="0"/>
                <w:sz w:val="24"/>
                <w:szCs w:val="24"/>
                <w:shd w:val="clear" w:color="000000"/>
              </w:rPr>
              <w:t>环境影响报告表》，报告表得出本项目符合产业政策、选址合理，采用适当的污染防治措施，污染物达标排放，从环保角度而言建设可行。</w:t>
            </w:r>
          </w:p>
          <w:p>
            <w:pPr>
              <w:pageBreakBefore w:val="0"/>
              <w:numPr>
                <w:ilvl w:val="0"/>
                <w:numId w:val="4"/>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201</w:t>
            </w:r>
            <w:r>
              <w:rPr>
                <w:rFonts w:hint="eastAsia" w:ascii="宋体" w:hAnsi="宋体" w:eastAsia="宋体"/>
                <w:color w:val="auto"/>
                <w:position w:val="0"/>
                <w:sz w:val="24"/>
                <w:szCs w:val="24"/>
                <w:shd w:val="clear" w:color="000000"/>
                <w:lang w:val="en-US" w:eastAsia="zh-CN"/>
              </w:rPr>
              <w:t>9</w:t>
            </w:r>
            <w:r>
              <w:rPr>
                <w:rFonts w:hint="default" w:ascii="宋体" w:hAnsi="宋体" w:eastAsia="宋体"/>
                <w:color w:val="auto"/>
                <w:position w:val="0"/>
                <w:sz w:val="24"/>
                <w:szCs w:val="24"/>
                <w:shd w:val="clear" w:color="000000"/>
              </w:rPr>
              <w:t>年</w:t>
            </w:r>
            <w:r>
              <w:rPr>
                <w:rFonts w:hint="eastAsia" w:ascii="宋体" w:hAnsi="宋体" w:eastAsia="宋体"/>
                <w:color w:val="auto"/>
                <w:position w:val="0"/>
                <w:sz w:val="24"/>
                <w:szCs w:val="24"/>
                <w:shd w:val="clear" w:color="000000"/>
                <w:lang w:val="en-US" w:eastAsia="zh-CN"/>
              </w:rPr>
              <w:t>10</w:t>
            </w:r>
            <w:r>
              <w:rPr>
                <w:rFonts w:hint="default" w:ascii="宋体" w:hAnsi="宋体" w:eastAsia="宋体"/>
                <w:color w:val="auto"/>
                <w:position w:val="0"/>
                <w:sz w:val="24"/>
                <w:szCs w:val="24"/>
                <w:shd w:val="clear" w:color="000000"/>
              </w:rPr>
              <w:t>月</w:t>
            </w:r>
            <w:r>
              <w:rPr>
                <w:rFonts w:hint="eastAsia" w:ascii="宋体" w:hAnsi="宋体" w:eastAsia="宋体"/>
                <w:color w:val="auto"/>
                <w:position w:val="0"/>
                <w:sz w:val="24"/>
                <w:szCs w:val="24"/>
                <w:shd w:val="clear" w:color="000000"/>
                <w:lang w:val="en-US" w:eastAsia="zh-CN"/>
              </w:rPr>
              <w:t>30</w:t>
            </w:r>
            <w:r>
              <w:rPr>
                <w:rFonts w:hint="default" w:ascii="宋体" w:hAnsi="宋体" w:eastAsia="宋体"/>
                <w:color w:val="auto"/>
                <w:position w:val="0"/>
                <w:sz w:val="24"/>
                <w:szCs w:val="24"/>
                <w:shd w:val="clear" w:color="000000"/>
              </w:rPr>
              <w:t>日，</w:t>
            </w:r>
            <w:r>
              <w:rPr>
                <w:rFonts w:hint="default" w:ascii="Times New Roman" w:hAnsi="Times New Roman" w:cs="Times New Roman"/>
                <w:color w:val="auto"/>
                <w:spacing w:val="-6"/>
                <w:sz w:val="24"/>
                <w:szCs w:val="24"/>
                <w:lang w:val="en-US" w:eastAsia="zh-CN"/>
              </w:rPr>
              <w:t>鄄城县</w:t>
            </w:r>
            <w:r>
              <w:rPr>
                <w:rFonts w:hint="eastAsia" w:ascii="Times New Roman" w:hAnsi="Times New Roman" w:cs="Times New Roman"/>
                <w:color w:val="auto"/>
                <w:spacing w:val="-6"/>
                <w:sz w:val="24"/>
                <w:szCs w:val="24"/>
                <w:lang w:val="en-US" w:eastAsia="zh-CN"/>
              </w:rPr>
              <w:t>审批服务局</w:t>
            </w:r>
            <w:r>
              <w:rPr>
                <w:rFonts w:hint="default" w:ascii="宋体" w:hAnsi="宋体" w:eastAsia="宋体"/>
                <w:color w:val="auto"/>
                <w:position w:val="0"/>
                <w:sz w:val="24"/>
                <w:szCs w:val="24"/>
                <w:shd w:val="clear" w:color="000000"/>
              </w:rPr>
              <w:t>以</w:t>
            </w:r>
            <w:r>
              <w:rPr>
                <w:rFonts w:hint="eastAsia" w:ascii="宋体" w:hAnsi="宋体" w:eastAsia="宋体"/>
                <w:color w:val="auto"/>
                <w:position w:val="0"/>
                <w:sz w:val="24"/>
                <w:szCs w:val="24"/>
                <w:shd w:val="clear" w:color="000000"/>
                <w:lang w:val="en-US" w:eastAsia="zh-CN"/>
              </w:rPr>
              <w:t>鄄行审投</w:t>
            </w:r>
            <w:r>
              <w:rPr>
                <w:rFonts w:hint="eastAsia" w:ascii="宋体" w:hAnsi="宋体" w:eastAsia="宋体"/>
                <w:color w:val="auto"/>
                <w:position w:val="0"/>
                <w:sz w:val="24"/>
                <w:szCs w:val="24"/>
                <w:shd w:val="clear" w:color="000000"/>
              </w:rPr>
              <w:t>［201</w:t>
            </w:r>
            <w:r>
              <w:rPr>
                <w:rFonts w:hint="eastAsia" w:ascii="宋体" w:hAnsi="宋体" w:eastAsia="宋体"/>
                <w:color w:val="auto"/>
                <w:position w:val="0"/>
                <w:sz w:val="24"/>
                <w:szCs w:val="24"/>
                <w:shd w:val="clear" w:color="000000"/>
                <w:lang w:val="en-US" w:eastAsia="zh-CN"/>
              </w:rPr>
              <w:t>9</w:t>
            </w:r>
            <w:r>
              <w:rPr>
                <w:rFonts w:hint="eastAsia" w:ascii="宋体" w:hAnsi="宋体" w:eastAsia="宋体"/>
                <w:color w:val="auto"/>
                <w:position w:val="0"/>
                <w:sz w:val="24"/>
                <w:szCs w:val="24"/>
                <w:shd w:val="clear" w:color="000000"/>
              </w:rPr>
              <w:t>］</w:t>
            </w:r>
            <w:r>
              <w:rPr>
                <w:rFonts w:hint="eastAsia" w:ascii="宋体" w:hAnsi="宋体" w:eastAsia="宋体"/>
                <w:color w:val="auto"/>
                <w:position w:val="0"/>
                <w:sz w:val="24"/>
                <w:szCs w:val="24"/>
                <w:shd w:val="clear" w:color="000000"/>
                <w:lang w:val="en-US" w:eastAsia="zh-CN"/>
              </w:rPr>
              <w:t>2</w:t>
            </w:r>
            <w:r>
              <w:rPr>
                <w:rFonts w:hint="eastAsia" w:ascii="宋体" w:hAnsi="宋体" w:eastAsia="宋体"/>
                <w:color w:val="auto"/>
                <w:position w:val="0"/>
                <w:sz w:val="24"/>
                <w:szCs w:val="24"/>
                <w:shd w:val="clear" w:color="000000"/>
              </w:rPr>
              <w:t>号</w:t>
            </w:r>
            <w:r>
              <w:rPr>
                <w:rFonts w:hint="default" w:ascii="宋体" w:hAnsi="宋体" w:eastAsia="宋体"/>
                <w:color w:val="auto"/>
                <w:position w:val="0"/>
                <w:sz w:val="24"/>
                <w:szCs w:val="24"/>
                <w:shd w:val="clear" w:color="000000"/>
              </w:rPr>
              <w:t>文件对本项目环评文件予以批复，同意项目开工建设。</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3</w:t>
            </w:r>
            <w:r>
              <w:rPr>
                <w:rFonts w:hint="default" w:ascii="宋体" w:hAnsi="宋体" w:eastAsia="宋体"/>
                <w:color w:val="C00000"/>
                <w:position w:val="0"/>
                <w:sz w:val="24"/>
                <w:szCs w:val="24"/>
                <w:shd w:val="clear" w:color="000000"/>
              </w:rPr>
              <w:t>、</w:t>
            </w:r>
            <w:r>
              <w:rPr>
                <w:rFonts w:hint="default" w:ascii="宋体" w:hAnsi="宋体" w:eastAsia="宋体"/>
                <w:color w:val="auto"/>
                <w:position w:val="0"/>
                <w:sz w:val="24"/>
                <w:szCs w:val="24"/>
                <w:shd w:val="clear" w:color="000000"/>
              </w:rPr>
              <w:t>该项目实际总投资</w:t>
            </w:r>
            <w:r>
              <w:rPr>
                <w:rFonts w:hint="eastAsia" w:ascii="宋体" w:hAnsi="宋体" w:eastAsia="宋体"/>
                <w:color w:val="auto"/>
                <w:position w:val="0"/>
                <w:sz w:val="24"/>
                <w:szCs w:val="24"/>
                <w:shd w:val="clear" w:color="000000"/>
                <w:lang w:val="en-US" w:eastAsia="zh-CN"/>
              </w:rPr>
              <w:t>500</w:t>
            </w:r>
            <w:r>
              <w:rPr>
                <w:rFonts w:hint="default" w:ascii="宋体" w:hAnsi="宋体" w:eastAsia="宋体"/>
                <w:color w:val="auto"/>
                <w:position w:val="0"/>
                <w:sz w:val="24"/>
                <w:szCs w:val="24"/>
                <w:shd w:val="clear" w:color="000000"/>
              </w:rPr>
              <w:t>万元，其中环保投资</w:t>
            </w:r>
            <w:r>
              <w:rPr>
                <w:rFonts w:hint="eastAsia" w:ascii="宋体" w:hAnsi="宋体" w:eastAsia="宋体"/>
                <w:color w:val="auto"/>
                <w:position w:val="0"/>
                <w:sz w:val="24"/>
                <w:szCs w:val="24"/>
                <w:shd w:val="clear" w:color="000000"/>
                <w:lang w:val="en-US" w:eastAsia="zh-CN"/>
              </w:rPr>
              <w:t>10</w:t>
            </w:r>
            <w:r>
              <w:rPr>
                <w:rFonts w:hint="default" w:ascii="宋体" w:hAnsi="宋体" w:eastAsia="宋体"/>
                <w:color w:val="auto"/>
                <w:position w:val="0"/>
                <w:sz w:val="24"/>
                <w:szCs w:val="24"/>
                <w:shd w:val="clear" w:color="000000"/>
              </w:rPr>
              <w:t>万元，占总投资的</w:t>
            </w:r>
            <w:r>
              <w:rPr>
                <w:rFonts w:hint="eastAsia" w:ascii="宋体" w:hAnsi="宋体" w:eastAsia="宋体"/>
                <w:color w:val="auto"/>
                <w:position w:val="0"/>
                <w:sz w:val="24"/>
                <w:szCs w:val="24"/>
                <w:shd w:val="clear" w:color="000000"/>
                <w:lang w:val="en-US" w:eastAsia="zh-CN"/>
              </w:rPr>
              <w:t>5</w:t>
            </w:r>
            <w:r>
              <w:rPr>
                <w:rFonts w:hint="default" w:ascii="宋体" w:hAnsi="宋体" w:eastAsia="宋体"/>
                <w:color w:val="auto"/>
                <w:position w:val="0"/>
                <w:sz w:val="24"/>
                <w:szCs w:val="24"/>
                <w:shd w:val="clear" w:color="000000"/>
              </w:rPr>
              <w:t>%。</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4、</w:t>
            </w: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年产40吨发制品项目(一期）年产20吨发制品</w:t>
            </w:r>
            <w:r>
              <w:rPr>
                <w:rFonts w:hint="default" w:ascii="宋体" w:hAnsi="宋体" w:eastAsia="宋体"/>
                <w:color w:val="auto"/>
                <w:position w:val="0"/>
                <w:sz w:val="24"/>
                <w:szCs w:val="24"/>
                <w:shd w:val="clear" w:color="000000"/>
              </w:rPr>
              <w:t>，</w:t>
            </w:r>
            <w:r>
              <w:rPr>
                <w:rFonts w:hint="eastAsia" w:ascii="宋体" w:hAnsi="宋体" w:eastAsia="宋体"/>
                <w:color w:val="auto"/>
                <w:position w:val="0"/>
                <w:sz w:val="24"/>
                <w:szCs w:val="24"/>
                <w:shd w:val="clear" w:color="000000"/>
                <w:lang w:val="en-US" w:eastAsia="zh-CN"/>
              </w:rPr>
              <w:t>部分设备为上，</w:t>
            </w:r>
            <w:r>
              <w:rPr>
                <w:rFonts w:hint="default" w:ascii="宋体" w:hAnsi="宋体" w:eastAsia="宋体"/>
                <w:color w:val="auto"/>
                <w:position w:val="0"/>
                <w:sz w:val="24"/>
                <w:szCs w:val="24"/>
                <w:shd w:val="clear" w:color="000000"/>
              </w:rPr>
              <w:t>建设过程中较环评存在</w:t>
            </w:r>
            <w:r>
              <w:rPr>
                <w:rFonts w:hint="eastAsia" w:ascii="宋体" w:hAnsi="宋体" w:eastAsia="宋体"/>
                <w:color w:val="auto"/>
                <w:position w:val="0"/>
                <w:sz w:val="24"/>
                <w:szCs w:val="24"/>
                <w:shd w:val="clear" w:color="000000"/>
                <w:lang w:val="en-US" w:eastAsia="zh-CN"/>
              </w:rPr>
              <w:t>的变动不属于</w:t>
            </w:r>
            <w:r>
              <w:rPr>
                <w:rFonts w:hint="default" w:ascii="宋体" w:hAnsi="宋体" w:eastAsia="宋体"/>
                <w:color w:val="auto"/>
                <w:position w:val="0"/>
                <w:sz w:val="24"/>
                <w:szCs w:val="24"/>
                <w:shd w:val="clear" w:color="000000"/>
              </w:rPr>
              <w:t>重大变动。</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5、该项目环保设施建设情况如下：</w:t>
            </w:r>
          </w:p>
          <w:p>
            <w:pPr>
              <w:pStyle w:val="40"/>
              <w:spacing w:line="360" w:lineRule="auto"/>
              <w:rPr>
                <w:rFonts w:hint="default" w:eastAsia="宋体"/>
                <w:lang w:val="en-US" w:eastAsia="zh-CN"/>
              </w:rPr>
            </w:pPr>
            <w:r>
              <w:rPr>
                <w:rFonts w:hint="eastAsia"/>
                <w:color w:val="auto"/>
                <w:position w:val="0"/>
                <w:sz w:val="24"/>
                <w:szCs w:val="24"/>
                <w:shd w:val="clear" w:color="000000"/>
                <w:lang w:val="en-US" w:eastAsia="zh-CN"/>
              </w:rPr>
              <w:t xml:space="preserve">    6、</w:t>
            </w:r>
            <w:r>
              <w:rPr>
                <w:rFonts w:hint="default" w:ascii="Times New Roman" w:hAnsi="宋体" w:eastAsia="宋体" w:cs="宋体"/>
                <w:b w:val="0"/>
                <w:color w:val="auto"/>
                <w:w w:val="100"/>
                <w:position w:val="0"/>
                <w:sz w:val="24"/>
                <w:szCs w:val="24"/>
                <w:shd w:val="clear"/>
                <w:lang w:val="en-US" w:eastAsia="zh-CN"/>
              </w:rPr>
              <w:t>经核实，本项目周边100米范围内无学校、医院、常住居民区等敏感点，能够满足项目卫生防护距离的要求。</w:t>
            </w:r>
          </w:p>
          <w:p>
            <w:pPr>
              <w:pageBreakBefore w:val="0"/>
              <w:numPr>
                <w:ilvl w:val="0"/>
                <w:numId w:val="0"/>
              </w:numPr>
              <w:autoSpaceDE/>
              <w:autoSpaceDN/>
              <w:bidi w:val="0"/>
              <w:snapToGrid/>
              <w:spacing w:before="0" w:after="0" w:line="360" w:lineRule="auto"/>
              <w:ind w:right="0" w:firstLine="48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zh-CN"/>
              </w:rPr>
              <w:t>、该项目环保设施建设情况</w:t>
            </w:r>
            <w:r>
              <w:rPr>
                <w:rFonts w:hint="default" w:ascii="Times New Roman" w:hAnsi="Times New Roman" w:eastAsia="宋体" w:cs="Times New Roman"/>
                <w:color w:val="auto"/>
                <w:sz w:val="24"/>
                <w:szCs w:val="24"/>
                <w:lang w:val="en-US" w:eastAsia="zh-CN"/>
              </w:rPr>
              <w:t>如下：</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生活废水设置化粪池</w:t>
            </w:r>
            <w:r>
              <w:rPr>
                <w:rFonts w:hint="eastAsia" w:ascii="宋体" w:hAnsi="宋体" w:eastAsia="宋体"/>
                <w:color w:val="auto"/>
                <w:position w:val="0"/>
                <w:sz w:val="24"/>
                <w:szCs w:val="24"/>
                <w:lang w:eastAsia="zh-CN"/>
              </w:rPr>
              <w:t>，</w:t>
            </w:r>
            <w:r>
              <w:rPr>
                <w:rFonts w:hint="eastAsia" w:ascii="宋体" w:hAnsi="宋体" w:eastAsia="宋体"/>
                <w:color w:val="auto"/>
                <w:position w:val="0"/>
                <w:sz w:val="24"/>
                <w:szCs w:val="24"/>
                <w:lang w:val="en-US" w:eastAsia="zh-CN"/>
              </w:rPr>
              <w:t>污水处理站</w:t>
            </w:r>
            <w:r>
              <w:rPr>
                <w:rFonts w:hint="default" w:ascii="宋体" w:hAnsi="宋体" w:eastAsia="宋体"/>
                <w:color w:val="auto"/>
                <w:position w:val="0"/>
                <w:sz w:val="24"/>
                <w:szCs w:val="24"/>
              </w:rPr>
              <w:t>，已建设完成。基础减震、隔声设施、生活垃圾收集等工程。</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rPr>
            </w:pPr>
            <w:r>
              <w:rPr>
                <w:rFonts w:hint="eastAsia" w:ascii="宋体" w:hAnsi="宋体" w:eastAsia="宋体"/>
                <w:color w:val="auto"/>
                <w:position w:val="0"/>
                <w:sz w:val="24"/>
                <w:szCs w:val="24"/>
                <w:lang w:val="en-US" w:eastAsia="zh-CN"/>
              </w:rPr>
              <w:t>8</w:t>
            </w:r>
            <w:r>
              <w:rPr>
                <w:rFonts w:hint="default" w:ascii="宋体" w:hAnsi="宋体" w:eastAsia="宋体"/>
                <w:color w:val="auto"/>
                <w:position w:val="0"/>
                <w:sz w:val="24"/>
                <w:szCs w:val="24"/>
              </w:rPr>
              <w:t>、验收监测结果综述：</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(1)废气</w:t>
            </w:r>
          </w:p>
          <w:p>
            <w:pPr>
              <w:pageBreakBefore w:val="0"/>
              <w:numPr>
                <w:ilvl w:val="0"/>
                <w:numId w:val="0"/>
              </w:numPr>
              <w:tabs>
                <w:tab w:val="left" w:pos="1785"/>
              </w:tabs>
              <w:autoSpaceDE/>
              <w:autoSpaceDN/>
              <w:bidi w:val="0"/>
              <w:snapToGrid w:val="0"/>
              <w:spacing w:before="0" w:after="0" w:line="360" w:lineRule="auto"/>
              <w:ind w:right="0" w:rightChars="0" w:firstLine="480" w:firstLineChars="200"/>
              <w:jc w:val="both"/>
              <w:rPr>
                <w:rFonts w:hint="default" w:ascii="Times New Roman" w:hAnsi="Times New Roman" w:eastAsia="Times New Roman"/>
                <w:b w:val="0"/>
                <w:color w:val="auto"/>
                <w:position w:val="0"/>
                <w:sz w:val="24"/>
                <w:szCs w:val="24"/>
              </w:rPr>
            </w:pPr>
            <w:r>
              <w:rPr>
                <w:rFonts w:hint="eastAsia" w:ascii="Times New Roman" w:hAnsi="Times New Roman" w:eastAsia="宋体"/>
                <w:b w:val="0"/>
                <w:color w:val="auto"/>
                <w:position w:val="0"/>
                <w:sz w:val="24"/>
                <w:szCs w:val="24"/>
                <w:lang w:val="en-US" w:eastAsia="zh-CN"/>
              </w:rPr>
              <w:t>有</w:t>
            </w:r>
            <w:r>
              <w:rPr>
                <w:rFonts w:hint="default" w:ascii="Times New Roman" w:hAnsi="Times New Roman" w:eastAsia="Times New Roman"/>
                <w:b w:val="0"/>
                <w:color w:val="auto"/>
                <w:position w:val="0"/>
                <w:sz w:val="24"/>
                <w:szCs w:val="24"/>
              </w:rPr>
              <w:t>组织废气排放监测结果</w:t>
            </w:r>
          </w:p>
          <w:p>
            <w:pPr>
              <w:pageBreakBefore w:val="0"/>
              <w:numPr>
                <w:ilvl w:val="0"/>
                <w:numId w:val="0"/>
              </w:numPr>
              <w:autoSpaceDE/>
              <w:autoSpaceDN/>
              <w:bidi w:val="0"/>
              <w:snapToGrid/>
              <w:spacing w:before="0" w:after="0" w:line="360" w:lineRule="auto"/>
              <w:ind w:right="0" w:firstLine="480"/>
              <w:jc w:val="left"/>
              <w:rPr>
                <w:rFonts w:hint="eastAsia" w:ascii="Times New Roman" w:hAnsi="宋体" w:eastAsia="宋体"/>
                <w:color w:val="auto"/>
                <w:position w:val="0"/>
                <w:sz w:val="24"/>
                <w:szCs w:val="24"/>
                <w:lang w:eastAsia="zh-CN"/>
              </w:rPr>
            </w:pPr>
            <w:r>
              <w:rPr>
                <w:rFonts w:hint="default" w:ascii="Times New Roman" w:hAnsi="Times New Roman" w:eastAsia="Times New Roman"/>
                <w:color w:val="auto"/>
                <w:position w:val="0"/>
                <w:sz w:val="24"/>
                <w:szCs w:val="24"/>
              </w:rPr>
              <w:t>经监测，</w:t>
            </w:r>
            <w:r>
              <w:rPr>
                <w:rFonts w:hint="default" w:ascii="Times New Roman" w:hAnsi="Times New Roman" w:eastAsia="宋体" w:cs="Times New Roman"/>
                <w:sz w:val="24"/>
              </w:rPr>
              <w:t>有组织</w:t>
            </w:r>
            <w:r>
              <w:rPr>
                <w:rFonts w:hint="eastAsia" w:cs="Times New Roman"/>
                <w:sz w:val="24"/>
                <w:lang w:val="en-US" w:eastAsia="zh-CN"/>
              </w:rPr>
              <w:t>硫酸雾</w:t>
            </w:r>
            <w:r>
              <w:rPr>
                <w:rFonts w:hint="default" w:ascii="Times New Roman" w:hAnsi="Times New Roman" w:eastAsia="Times New Roman"/>
                <w:color w:val="auto"/>
                <w:position w:val="0"/>
                <w:sz w:val="24"/>
                <w:szCs w:val="24"/>
              </w:rPr>
              <w:t>排放最大浓度</w:t>
            </w:r>
            <w:r>
              <w:rPr>
                <w:rFonts w:hint="eastAsia" w:ascii="Times New Roman" w:hAnsi="Times New Roman" w:eastAsia="宋体"/>
                <w:color w:val="auto"/>
                <w:position w:val="0"/>
                <w:sz w:val="24"/>
                <w:szCs w:val="24"/>
                <w:lang w:val="en-US" w:eastAsia="zh-CN"/>
              </w:rPr>
              <w:t>分别</w:t>
            </w:r>
            <w:r>
              <w:rPr>
                <w:rFonts w:hint="default" w:ascii="Times New Roman" w:hAnsi="Times New Roman" w:eastAsia="Times New Roman"/>
                <w:color w:val="auto"/>
                <w:position w:val="0"/>
                <w:sz w:val="24"/>
                <w:szCs w:val="24"/>
              </w:rPr>
              <w:t>为</w:t>
            </w:r>
            <w:r>
              <w:rPr>
                <w:rFonts w:hint="eastAsia" w:ascii="Times New Roman" w:hAnsi="Times New Roman" w:eastAsia="宋体"/>
                <w:color w:val="auto"/>
                <w:position w:val="0"/>
                <w:sz w:val="24"/>
                <w:szCs w:val="24"/>
                <w:lang w:val="en-US" w:eastAsia="zh-CN"/>
              </w:rPr>
              <w:t>2.67</w:t>
            </w:r>
            <w:r>
              <w:rPr>
                <w:rFonts w:hint="default" w:ascii="Times New Roman" w:hAnsi="Times New Roman" w:eastAsia="Times New Roman"/>
                <w:color w:val="auto"/>
                <w:position w:val="0"/>
                <w:sz w:val="24"/>
                <w:szCs w:val="24"/>
              </w:rPr>
              <w:t>mg/m</w:t>
            </w:r>
            <w:r>
              <w:rPr>
                <w:rFonts w:hint="default" w:ascii="Times New Roman" w:hAnsi="Times New Roman" w:eastAsia="Times New Roman"/>
                <w:color w:val="auto"/>
                <w:position w:val="0"/>
                <w:sz w:val="24"/>
                <w:szCs w:val="24"/>
                <w:vertAlign w:val="superscript"/>
              </w:rPr>
              <w:t>3</w:t>
            </w:r>
            <w:r>
              <w:rPr>
                <w:rFonts w:hint="default" w:ascii="Times New Roman" w:hAnsi="Times New Roman" w:eastAsia="Times New Roman"/>
                <w:color w:val="auto"/>
                <w:position w:val="0"/>
                <w:sz w:val="24"/>
                <w:szCs w:val="24"/>
              </w:rPr>
              <w:t>，</w:t>
            </w:r>
            <w:r>
              <w:rPr>
                <w:rFonts w:hint="eastAsia" w:cs="Times New Roman"/>
                <w:sz w:val="24"/>
                <w:lang w:val="en-US" w:eastAsia="zh-CN"/>
              </w:rPr>
              <w:t>《大气污染物综合排放标准》（GB16297-1996）表2中二级标准要求</w:t>
            </w:r>
            <w:r>
              <w:rPr>
                <w:rFonts w:hint="default" w:ascii="Times New Roman" w:hAnsi="宋体" w:eastAsia="宋体"/>
                <w:color w:val="auto"/>
                <w:position w:val="0"/>
                <w:sz w:val="24"/>
                <w:szCs w:val="24"/>
              </w:rPr>
              <w:t>。（</w:t>
            </w:r>
            <w:r>
              <w:rPr>
                <w:rFonts w:hint="eastAsia" w:cs="Times New Roman"/>
                <w:sz w:val="24"/>
                <w:lang w:val="en-US" w:eastAsia="zh-CN"/>
              </w:rPr>
              <w:t>硫酸雾</w:t>
            </w:r>
            <w:r>
              <w:rPr>
                <w:rFonts w:hint="default" w:ascii="Times New Roman" w:hAnsi="宋体" w:eastAsia="宋体"/>
                <w:color w:val="auto"/>
                <w:position w:val="0"/>
                <w:sz w:val="24"/>
                <w:szCs w:val="24"/>
              </w:rPr>
              <w:t>：</w:t>
            </w:r>
            <w:r>
              <w:rPr>
                <w:rFonts w:hint="eastAsia" w:ascii="Times New Roman" w:hAnsi="宋体" w:eastAsia="宋体"/>
                <w:color w:val="auto"/>
                <w:position w:val="0"/>
                <w:sz w:val="24"/>
                <w:szCs w:val="24"/>
                <w:lang w:val="en-US" w:eastAsia="zh-CN"/>
              </w:rPr>
              <w:t>45</w:t>
            </w:r>
            <w:r>
              <w:rPr>
                <w:rFonts w:hint="default" w:ascii="Times New Roman" w:hAnsi="宋体" w:eastAsia="宋体"/>
                <w:color w:val="auto"/>
                <w:position w:val="0"/>
                <w:sz w:val="24"/>
                <w:szCs w:val="24"/>
              </w:rPr>
              <w:t>mg/m³</w:t>
            </w:r>
            <w:r>
              <w:rPr>
                <w:rFonts w:hint="eastAsia" w:ascii="Times New Roman" w:hAnsi="宋体" w:eastAsia="宋体"/>
                <w:color w:val="auto"/>
                <w:position w:val="0"/>
                <w:sz w:val="24"/>
                <w:szCs w:val="24"/>
                <w:lang w:eastAsia="zh-CN"/>
              </w:rPr>
              <w:t>），</w:t>
            </w:r>
            <w:r>
              <w:rPr>
                <w:rFonts w:hint="eastAsia" w:ascii="Times New Roman" w:hAnsi="宋体" w:eastAsia="宋体"/>
                <w:color w:val="auto"/>
                <w:position w:val="0"/>
                <w:sz w:val="24"/>
                <w:szCs w:val="24"/>
                <w:lang w:val="en-US" w:eastAsia="zh-CN"/>
              </w:rPr>
              <w:t>能够达标排放。有组</w:t>
            </w:r>
            <w:r>
              <w:rPr>
                <w:rFonts w:hint="eastAsia" w:ascii="Times New Roman" w:hAnsi="Times New Roman" w:eastAsia="Times New Roman"/>
                <w:color w:val="auto"/>
                <w:position w:val="0"/>
                <w:sz w:val="24"/>
                <w:szCs w:val="24"/>
                <w:lang w:val="en-US" w:eastAsia="zh-CN"/>
              </w:rPr>
              <w:t>织氨</w:t>
            </w:r>
            <w:r>
              <w:rPr>
                <w:rFonts w:hint="eastAsia" w:ascii="Times New Roman" w:hAnsi="Times New Roman"/>
                <w:color w:val="auto"/>
                <w:position w:val="0"/>
                <w:sz w:val="24"/>
                <w:szCs w:val="24"/>
                <w:lang w:val="en-US" w:eastAsia="zh-CN"/>
              </w:rPr>
              <w:t>最大</w:t>
            </w:r>
            <w:r>
              <w:rPr>
                <w:rFonts w:hint="default" w:ascii="Times New Roman" w:hAnsi="Times New Roman" w:eastAsia="Times New Roman"/>
                <w:color w:val="auto"/>
                <w:position w:val="0"/>
                <w:sz w:val="24"/>
                <w:szCs w:val="24"/>
              </w:rPr>
              <w:t>排</w:t>
            </w:r>
            <w:r>
              <w:rPr>
                <w:rFonts w:hint="eastAsia" w:ascii="Times New Roman" w:hAnsi="Times New Roman" w:eastAsia="宋体"/>
                <w:color w:val="auto"/>
                <w:position w:val="0"/>
                <w:sz w:val="24"/>
                <w:szCs w:val="24"/>
                <w:lang w:val="en-US" w:eastAsia="zh-CN"/>
              </w:rPr>
              <w:t>速率</w:t>
            </w:r>
            <w:r>
              <w:rPr>
                <w:rFonts w:hint="default" w:ascii="Times New Roman" w:hAnsi="Times New Roman" w:eastAsia="Times New Roman"/>
                <w:color w:val="auto"/>
                <w:position w:val="0"/>
                <w:sz w:val="24"/>
                <w:szCs w:val="24"/>
              </w:rPr>
              <w:t>为</w:t>
            </w:r>
            <w:r>
              <w:rPr>
                <w:rFonts w:hint="eastAsia" w:ascii="Times New Roman"/>
                <w:sz w:val="21"/>
                <w:szCs w:val="21"/>
              </w:rPr>
              <w:t>4.86</w:t>
            </w:r>
            <w:r>
              <w:rPr>
                <w:rFonts w:ascii="Times New Roman"/>
                <w:sz w:val="21"/>
                <w:szCs w:val="21"/>
              </w:rPr>
              <w:t>×</w:t>
            </w:r>
            <w:r>
              <w:rPr>
                <w:rFonts w:hint="eastAsia" w:ascii="Times New Roman" w:cs="宋体"/>
                <w:sz w:val="21"/>
                <w:szCs w:val="21"/>
              </w:rPr>
              <w:t>10</w:t>
            </w:r>
            <w:r>
              <w:rPr>
                <w:rFonts w:hint="eastAsia" w:ascii="Times New Roman" w:cs="宋体"/>
                <w:sz w:val="21"/>
                <w:szCs w:val="21"/>
                <w:vertAlign w:val="superscript"/>
              </w:rPr>
              <w:t>-3</w:t>
            </w:r>
            <w:r>
              <w:rPr>
                <w:rFonts w:hint="eastAsia" w:ascii="Times New Roman" w:hAnsi="宋体" w:eastAsia="宋体"/>
                <w:color w:val="auto"/>
                <w:position w:val="0"/>
                <w:sz w:val="24"/>
                <w:szCs w:val="24"/>
                <w:lang w:val="en-US" w:eastAsia="zh-CN"/>
              </w:rPr>
              <w:t>kg</w:t>
            </w:r>
            <w:r>
              <w:rPr>
                <w:rFonts w:hint="default" w:ascii="Times New Roman" w:hAnsi="宋体" w:eastAsia="宋体"/>
                <w:color w:val="auto"/>
                <w:position w:val="0"/>
                <w:sz w:val="24"/>
                <w:szCs w:val="24"/>
              </w:rPr>
              <w:t>/</w:t>
            </w:r>
            <w:r>
              <w:rPr>
                <w:rFonts w:hint="eastAsia" w:ascii="Times New Roman" w:hAnsi="宋体" w:eastAsia="宋体"/>
                <w:color w:val="auto"/>
                <w:position w:val="0"/>
                <w:sz w:val="24"/>
                <w:szCs w:val="24"/>
                <w:lang w:val="en-US" w:eastAsia="zh-CN"/>
              </w:rPr>
              <w:t>h</w:t>
            </w:r>
            <w:r>
              <w:rPr>
                <w:rFonts w:hint="eastAsia" w:ascii="Times New Roman" w:hAnsi="Times New Roman" w:eastAsia="Times New Roman"/>
                <w:color w:val="auto"/>
                <w:position w:val="0"/>
                <w:sz w:val="24"/>
                <w:szCs w:val="24"/>
                <w:lang w:val="en-US" w:eastAsia="zh-CN"/>
              </w:rPr>
              <w:t>《恶臭污染物排放标准》（GB14554-93）二级新建标准要求。（氨臭气排放速率小于等于</w:t>
            </w:r>
            <w:r>
              <w:rPr>
                <w:rFonts w:hint="eastAsia" w:ascii="Times New Roman" w:hAnsi="宋体" w:eastAsia="宋体"/>
                <w:color w:val="auto"/>
                <w:position w:val="0"/>
                <w:sz w:val="24"/>
                <w:szCs w:val="24"/>
                <w:lang w:val="en-US" w:eastAsia="zh-CN"/>
              </w:rPr>
              <w:t>4.9kg</w:t>
            </w:r>
            <w:r>
              <w:rPr>
                <w:rFonts w:hint="default" w:ascii="Times New Roman" w:hAnsi="宋体" w:eastAsia="宋体"/>
                <w:color w:val="auto"/>
                <w:position w:val="0"/>
                <w:sz w:val="24"/>
                <w:szCs w:val="24"/>
              </w:rPr>
              <w:t>/</w:t>
            </w:r>
            <w:r>
              <w:rPr>
                <w:rFonts w:hint="eastAsia" w:ascii="Times New Roman" w:hAnsi="宋体" w:eastAsia="宋体"/>
                <w:color w:val="auto"/>
                <w:position w:val="0"/>
                <w:sz w:val="24"/>
                <w:szCs w:val="24"/>
                <w:lang w:val="en-US" w:eastAsia="zh-CN"/>
              </w:rPr>
              <w:t>h）</w:t>
            </w:r>
          </w:p>
          <w:p>
            <w:pPr>
              <w:pStyle w:val="40"/>
              <w:rPr>
                <w:rFonts w:hint="default" w:cs="Times New Roman"/>
                <w:sz w:val="24"/>
                <w:lang w:val="en-US" w:eastAsia="zh-CN"/>
              </w:rPr>
            </w:pPr>
            <w:r>
              <w:rPr>
                <w:rFonts w:hint="eastAsia" w:ascii="Times New Roman" w:hAnsi="宋体" w:eastAsia="宋体"/>
                <w:color w:val="auto"/>
                <w:position w:val="0"/>
                <w:sz w:val="24"/>
                <w:szCs w:val="24"/>
                <w:lang w:val="en-US" w:eastAsia="zh-CN"/>
              </w:rPr>
              <w:t xml:space="preserve">     </w:t>
            </w:r>
            <w:r>
              <w:rPr>
                <w:rFonts w:hint="default" w:ascii="Times New Roman" w:hAnsi="Times New Roman" w:eastAsia="宋体" w:cs="Times New Roman"/>
                <w:sz w:val="24"/>
              </w:rPr>
              <w:t>有组织</w:t>
            </w:r>
            <w:r>
              <w:rPr>
                <w:rFonts w:hint="eastAsia" w:cs="Times New Roman"/>
                <w:sz w:val="24"/>
                <w:lang w:val="en-US" w:eastAsia="zh-CN"/>
              </w:rPr>
              <w:t>硫酸雾处理效率为59.9%-66.9%</w:t>
            </w:r>
          </w:p>
          <w:p>
            <w:pPr>
              <w:pStyle w:val="40"/>
              <w:rPr>
                <w:rFonts w:hint="default" w:cs="Times New Roman"/>
                <w:sz w:val="24"/>
                <w:lang w:val="en-US" w:eastAsia="zh-CN"/>
              </w:rPr>
            </w:pPr>
            <w:r>
              <w:rPr>
                <w:rFonts w:hint="eastAsia" w:cs="Times New Roman"/>
                <w:sz w:val="24"/>
                <w:lang w:val="en-US" w:eastAsia="zh-CN"/>
              </w:rPr>
              <w:t xml:space="preserve">     </w:t>
            </w:r>
            <w:r>
              <w:rPr>
                <w:rFonts w:hint="default" w:ascii="Times New Roman" w:hAnsi="Times New Roman" w:eastAsia="宋体" w:cs="Times New Roman"/>
                <w:sz w:val="24"/>
              </w:rPr>
              <w:t>有组织</w:t>
            </w:r>
            <w:r>
              <w:rPr>
                <w:rFonts w:hint="eastAsia" w:cs="Times New Roman"/>
                <w:sz w:val="24"/>
                <w:lang w:val="en-US" w:eastAsia="zh-CN"/>
              </w:rPr>
              <w:t>氨处理效率为64.9%-66.9%</w:t>
            </w:r>
          </w:p>
          <w:p>
            <w:pPr>
              <w:pStyle w:val="40"/>
              <w:rPr>
                <w:rFonts w:hint="default" w:cs="Times New Roman"/>
                <w:sz w:val="24"/>
                <w:lang w:val="en-US" w:eastAsia="zh-CN"/>
              </w:rPr>
            </w:pPr>
          </w:p>
          <w:p>
            <w:pPr>
              <w:pStyle w:val="40"/>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 xml:space="preserve">      </w:t>
            </w:r>
          </w:p>
          <w:p>
            <w:pPr>
              <w:pageBreakBefore w:val="0"/>
              <w:numPr>
                <w:ilvl w:val="0"/>
                <w:numId w:val="0"/>
              </w:numPr>
              <w:tabs>
                <w:tab w:val="left" w:pos="1785"/>
              </w:tabs>
              <w:autoSpaceDE/>
              <w:autoSpaceDN/>
              <w:bidi w:val="0"/>
              <w:snapToGrid w:val="0"/>
              <w:spacing w:before="0" w:after="0" w:line="360" w:lineRule="auto"/>
              <w:ind w:right="0" w:rightChars="0" w:firstLine="480" w:firstLineChars="200"/>
              <w:jc w:val="both"/>
              <w:rPr>
                <w:rFonts w:hint="eastAsia"/>
                <w:b/>
                <w:bCs/>
                <w:lang w:val="en-US" w:eastAsia="zh-CN"/>
              </w:rPr>
            </w:pPr>
            <w:r>
              <w:rPr>
                <w:rFonts w:hint="eastAsia" w:ascii="Times New Roman" w:hAnsi="Times New Roman" w:eastAsia="宋体"/>
                <w:b w:val="0"/>
                <w:color w:val="auto"/>
                <w:position w:val="0"/>
                <w:sz w:val="24"/>
                <w:szCs w:val="24"/>
                <w:lang w:val="en-US" w:eastAsia="zh-CN"/>
              </w:rPr>
              <w:t>无</w:t>
            </w:r>
            <w:r>
              <w:rPr>
                <w:rFonts w:hint="default" w:ascii="Times New Roman" w:hAnsi="Times New Roman" w:eastAsia="Times New Roman"/>
                <w:b w:val="0"/>
                <w:color w:val="auto"/>
                <w:position w:val="0"/>
                <w:sz w:val="24"/>
                <w:szCs w:val="24"/>
              </w:rPr>
              <w:t>组织废气排放监测结果</w:t>
            </w:r>
          </w:p>
          <w:p>
            <w:pPr>
              <w:pageBreakBefore w:val="0"/>
              <w:numPr>
                <w:ilvl w:val="0"/>
                <w:numId w:val="0"/>
              </w:numPr>
              <w:autoSpaceDE/>
              <w:autoSpaceDN/>
              <w:bidi w:val="0"/>
              <w:snapToGrid/>
              <w:spacing w:before="0" w:after="0" w:line="360" w:lineRule="auto"/>
              <w:ind w:right="0" w:firstLine="480"/>
              <w:jc w:val="left"/>
              <w:rPr>
                <w:rFonts w:hint="default" w:ascii="Times New Roman" w:hAnsi="Times New Roman" w:eastAsia="Times New Roman" w:cs="宋体"/>
                <w:color w:val="auto"/>
                <w:position w:val="0"/>
                <w:sz w:val="24"/>
                <w:szCs w:val="24"/>
                <w:lang w:val="en-US" w:eastAsia="zh-CN"/>
              </w:rPr>
            </w:pPr>
            <w:r>
              <w:rPr>
                <w:rFonts w:hint="eastAsia" w:ascii="Times New Roman" w:hAnsi="Times New Roman" w:eastAsia="Times New Roman" w:cs="宋体"/>
                <w:color w:val="auto"/>
                <w:position w:val="0"/>
                <w:sz w:val="24"/>
                <w:szCs w:val="24"/>
                <w:lang w:val="en-US" w:eastAsia="zh-CN"/>
              </w:rPr>
              <w:t>无</w:t>
            </w:r>
            <w:r>
              <w:rPr>
                <w:rFonts w:hint="default" w:ascii="Times New Roman" w:hAnsi="Times New Roman" w:eastAsia="Times New Roman" w:cs="宋体"/>
                <w:color w:val="auto"/>
                <w:position w:val="0"/>
                <w:sz w:val="24"/>
                <w:szCs w:val="24"/>
              </w:rPr>
              <w:t>组织</w:t>
            </w:r>
            <w:r>
              <w:rPr>
                <w:rFonts w:hint="eastAsia" w:ascii="Times New Roman" w:hAnsi="Times New Roman" w:eastAsia="Times New Roman" w:cs="宋体"/>
                <w:color w:val="auto"/>
                <w:position w:val="0"/>
                <w:sz w:val="24"/>
                <w:szCs w:val="24"/>
                <w:lang w:val="en-US" w:eastAsia="zh-CN"/>
              </w:rPr>
              <w:t>硫酸雾执行《大气污染物综合排放标准》（GB16297-1996）表2中无组织硫酸雾排放</w:t>
            </w:r>
            <w:r>
              <w:rPr>
                <w:rFonts w:hint="eastAsia" w:ascii="Times New Roman" w:hAnsi="Times New Roman" w:cs="宋体"/>
                <w:color w:val="auto"/>
                <w:position w:val="0"/>
                <w:sz w:val="24"/>
                <w:szCs w:val="24"/>
                <w:lang w:val="en-US" w:eastAsia="zh-CN"/>
              </w:rPr>
              <w:t>0.026</w:t>
            </w:r>
            <w:r>
              <w:rPr>
                <w:rFonts w:hint="eastAsia" w:ascii="Times New Roman" w:hAnsi="Times New Roman" w:eastAsia="Times New Roman" w:cs="宋体"/>
                <w:color w:val="auto"/>
                <w:position w:val="0"/>
                <w:sz w:val="24"/>
                <w:szCs w:val="24"/>
                <w:lang w:val="en-US" w:eastAsia="zh-CN"/>
              </w:rPr>
              <w:t>mg/g,满足小于(1.2mg/g)要求。无组织氨执行《恶臭污染物排放标准》（GB14554-93）二级新建标准,无组织硫酸雾排放</w:t>
            </w:r>
            <w:r>
              <w:rPr>
                <w:rFonts w:hint="eastAsia" w:ascii="Times New Roman" w:hAnsi="Times New Roman" w:cs="宋体"/>
                <w:color w:val="auto"/>
                <w:position w:val="0"/>
                <w:sz w:val="24"/>
                <w:szCs w:val="24"/>
                <w:lang w:val="en-US" w:eastAsia="zh-CN"/>
              </w:rPr>
              <w:t>0.18</w:t>
            </w:r>
            <w:r>
              <w:rPr>
                <w:rFonts w:hint="eastAsia" w:ascii="Times New Roman" w:hAnsi="Times New Roman" w:eastAsia="Times New Roman" w:cs="宋体"/>
                <w:color w:val="auto"/>
                <w:position w:val="0"/>
                <w:sz w:val="24"/>
                <w:szCs w:val="24"/>
                <w:lang w:val="en-US" w:eastAsia="zh-CN"/>
              </w:rPr>
              <w:t>mg/g即氨小于（1.5mg/m</w:t>
            </w:r>
            <w:r>
              <w:rPr>
                <w:rFonts w:hint="eastAsia" w:ascii="Times New Roman" w:hAnsi="Times New Roman" w:eastAsia="Times New Roman" w:cs="宋体"/>
                <w:color w:val="auto"/>
                <w:position w:val="0"/>
                <w:sz w:val="24"/>
                <w:szCs w:val="24"/>
                <w:vertAlign w:val="superscript"/>
                <w:lang w:val="en-US" w:eastAsia="zh-CN"/>
              </w:rPr>
              <w:t>3</w:t>
            </w:r>
            <w:r>
              <w:rPr>
                <w:rFonts w:hint="eastAsia" w:ascii="Times New Roman" w:hAnsi="Times New Roman" w:eastAsia="Times New Roman" w:cs="宋体"/>
                <w:color w:val="auto"/>
                <w:position w:val="0"/>
                <w:sz w:val="24"/>
                <w:szCs w:val="24"/>
                <w:lang w:val="en-US" w:eastAsia="zh-CN"/>
              </w:rPr>
              <w:t>)</w:t>
            </w:r>
          </w:p>
          <w:p>
            <w:pPr>
              <w:pageBreakBefore w:val="0"/>
              <w:numPr>
                <w:ilvl w:val="0"/>
                <w:numId w:val="0"/>
              </w:numPr>
              <w:autoSpaceDE/>
              <w:autoSpaceDN/>
              <w:bidi w:val="0"/>
              <w:snapToGrid/>
              <w:spacing w:before="0" w:after="0" w:line="360" w:lineRule="auto"/>
              <w:ind w:right="0" w:firstLine="480"/>
              <w:jc w:val="left"/>
              <w:rPr>
                <w:rFonts w:hint="eastAsia" w:ascii="Times New Roman" w:hAnsi="Times New Roman" w:eastAsia="Times New Roman" w:cs="宋体"/>
                <w:color w:val="auto"/>
                <w:position w:val="0"/>
                <w:sz w:val="24"/>
                <w:szCs w:val="24"/>
                <w:lang w:val="en-US" w:eastAsia="zh-CN"/>
              </w:rPr>
            </w:pPr>
          </w:p>
          <w:p>
            <w:pPr>
              <w:pStyle w:val="8"/>
              <w:rPr>
                <w:rFonts w:hint="default"/>
                <w:lang w:val="en-US" w:eastAsia="zh-CN"/>
              </w:rPr>
            </w:pPr>
          </w:p>
          <w:p>
            <w:pPr>
              <w:pStyle w:val="40"/>
              <w:numPr>
                <w:ilvl w:val="0"/>
                <w:numId w:val="0"/>
              </w:numPr>
              <w:ind w:left="480" w:leftChars="0"/>
              <w:rPr>
                <w:rFonts w:hint="eastAsia" w:ascii="Times New Roman"/>
                <w:color w:val="auto"/>
                <w:position w:val="0"/>
                <w:sz w:val="24"/>
                <w:szCs w:val="24"/>
                <w:lang w:val="en-US" w:eastAsia="zh-CN"/>
              </w:rPr>
            </w:pPr>
            <w:r>
              <w:rPr>
                <w:rFonts w:hint="eastAsia" w:ascii="Times New Roman"/>
                <w:color w:val="auto"/>
                <w:position w:val="0"/>
                <w:sz w:val="24"/>
                <w:szCs w:val="24"/>
                <w:lang w:val="en-US" w:eastAsia="zh-CN"/>
              </w:rPr>
              <w:t>（2）废水</w:t>
            </w:r>
          </w:p>
          <w:p>
            <w:pPr>
              <w:pageBreakBefore w:val="0"/>
              <w:numPr>
                <w:ilvl w:val="0"/>
                <w:numId w:val="0"/>
              </w:numPr>
              <w:autoSpaceDE/>
              <w:autoSpaceDN/>
              <w:bidi w:val="0"/>
              <w:snapToGrid/>
              <w:spacing w:before="0" w:after="0" w:line="360" w:lineRule="auto"/>
              <w:ind w:right="0" w:firstLine="480"/>
              <w:jc w:val="left"/>
              <w:rPr>
                <w:rFonts w:hint="default" w:ascii="Times New Roman" w:hAnsi="Times New Roman" w:eastAsia="Times New Roman"/>
                <w:color w:val="auto"/>
                <w:position w:val="0"/>
                <w:sz w:val="24"/>
                <w:szCs w:val="24"/>
                <w:lang w:val="en-US"/>
              </w:rPr>
            </w:pPr>
            <w:r>
              <w:rPr>
                <w:rFonts w:hint="eastAsia" w:ascii="Times New Roman" w:hAnsi="Times New Roman" w:eastAsia="Times New Roman"/>
                <w:color w:val="auto"/>
                <w:position w:val="0"/>
                <w:sz w:val="24"/>
                <w:szCs w:val="24"/>
                <w:lang w:val="en-US" w:eastAsia="zh-CN"/>
              </w:rPr>
              <w:t>经核实，验收监测期间，污水外排口CODcr</w:t>
            </w:r>
            <w:r>
              <w:rPr>
                <w:rFonts w:hint="default" w:ascii="Times New Roman" w:hAnsi="Times New Roman" w:eastAsia="Times New Roman"/>
                <w:color w:val="auto"/>
                <w:position w:val="0"/>
                <w:sz w:val="24"/>
                <w:szCs w:val="24"/>
              </w:rPr>
              <w:t>的最大排放浓度为</w:t>
            </w:r>
            <w:r>
              <w:rPr>
                <w:rFonts w:hint="eastAsia" w:ascii="Times New Roman" w:hAnsi="Times New Roman" w:eastAsia="宋体"/>
                <w:color w:val="auto"/>
                <w:position w:val="0"/>
                <w:sz w:val="24"/>
                <w:szCs w:val="24"/>
                <w:lang w:val="en-US" w:eastAsia="zh-CN"/>
              </w:rPr>
              <w:t>81</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L；SS</w:t>
            </w:r>
            <w:r>
              <w:rPr>
                <w:rFonts w:hint="default" w:ascii="Times New Roman" w:hAnsi="Times New Roman" w:eastAsia="Times New Roman"/>
                <w:color w:val="auto"/>
                <w:position w:val="0"/>
                <w:sz w:val="24"/>
                <w:szCs w:val="24"/>
              </w:rPr>
              <w:t>的最大排放浓度为</w:t>
            </w:r>
            <w:r>
              <w:rPr>
                <w:rFonts w:hint="eastAsia" w:ascii="Times New Roman" w:hAnsi="Times New Roman" w:eastAsia="宋体"/>
                <w:color w:val="auto"/>
                <w:position w:val="0"/>
                <w:sz w:val="24"/>
                <w:szCs w:val="24"/>
                <w:lang w:val="en-US" w:eastAsia="zh-CN"/>
              </w:rPr>
              <w:t>6</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L；氨氮</w:t>
            </w:r>
            <w:r>
              <w:rPr>
                <w:rFonts w:hint="default" w:ascii="Times New Roman" w:hAnsi="Times New Roman" w:eastAsia="Times New Roman"/>
                <w:color w:val="auto"/>
                <w:position w:val="0"/>
                <w:sz w:val="24"/>
                <w:szCs w:val="24"/>
              </w:rPr>
              <w:t>的最大排放浓度为</w:t>
            </w:r>
            <w:r>
              <w:rPr>
                <w:rFonts w:hint="eastAsia" w:ascii="Times New Roman" w:hAnsi="Times New Roman" w:eastAsia="宋体"/>
                <w:color w:val="auto"/>
                <w:position w:val="0"/>
                <w:sz w:val="24"/>
                <w:szCs w:val="24"/>
                <w:lang w:val="en-US" w:eastAsia="zh-CN"/>
              </w:rPr>
              <w:t>14.5</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L；BOD</w:t>
            </w:r>
            <w:r>
              <w:rPr>
                <w:rFonts w:hint="eastAsia" w:ascii="Times New Roman" w:hAnsi="Times New Roman" w:eastAsia="Times New Roman"/>
                <w:color w:val="auto"/>
                <w:position w:val="0"/>
                <w:sz w:val="24"/>
                <w:szCs w:val="24"/>
                <w:vertAlign w:val="subscript"/>
                <w:lang w:val="en-US" w:eastAsia="zh-CN"/>
              </w:rPr>
              <w:t>5</w:t>
            </w:r>
            <w:r>
              <w:rPr>
                <w:rFonts w:hint="default" w:ascii="Times New Roman" w:hAnsi="Times New Roman" w:eastAsia="Times New Roman"/>
                <w:color w:val="auto"/>
                <w:position w:val="0"/>
                <w:sz w:val="24"/>
                <w:szCs w:val="24"/>
              </w:rPr>
              <w:t>的最大排放浓度为</w:t>
            </w:r>
            <w:r>
              <w:rPr>
                <w:rFonts w:hint="eastAsia" w:ascii="Times New Roman" w:hAnsi="Times New Roman" w:eastAsia="宋体"/>
                <w:color w:val="auto"/>
                <w:position w:val="0"/>
                <w:sz w:val="24"/>
                <w:szCs w:val="24"/>
                <w:lang w:val="en-US" w:eastAsia="zh-CN"/>
              </w:rPr>
              <w:t>18.2</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总磷</w:t>
            </w:r>
            <w:r>
              <w:rPr>
                <w:rFonts w:hint="default" w:ascii="Times New Roman" w:hAnsi="Times New Roman" w:eastAsia="Times New Roman"/>
                <w:color w:val="auto"/>
                <w:position w:val="0"/>
                <w:sz w:val="24"/>
                <w:szCs w:val="24"/>
              </w:rPr>
              <w:t>的最大排放浓度为</w:t>
            </w:r>
            <w:r>
              <w:rPr>
                <w:rFonts w:hint="eastAsia" w:ascii="Times New Roman" w:hAnsi="Times New Roman" w:eastAsia="宋体"/>
                <w:color w:val="auto"/>
                <w:position w:val="0"/>
                <w:sz w:val="24"/>
                <w:szCs w:val="24"/>
                <w:lang w:val="en-US" w:eastAsia="zh-CN"/>
              </w:rPr>
              <w:t>0.08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PH值</w:t>
            </w:r>
            <w:r>
              <w:rPr>
                <w:rFonts w:hint="default" w:ascii="Times New Roman" w:hAnsi="Times New Roman" w:eastAsia="Times New Roman"/>
                <w:color w:val="auto"/>
                <w:position w:val="0"/>
                <w:sz w:val="24"/>
                <w:szCs w:val="24"/>
              </w:rPr>
              <w:t>的最大排放浓度为</w:t>
            </w:r>
            <w:r>
              <w:rPr>
                <w:rFonts w:hint="eastAsia" w:ascii="Times New Roman" w:hAnsi="Times New Roman" w:eastAsia="宋体"/>
                <w:color w:val="auto"/>
                <w:position w:val="0"/>
                <w:sz w:val="24"/>
                <w:szCs w:val="24"/>
                <w:lang w:val="en-US" w:eastAsia="zh-CN"/>
              </w:rPr>
              <w:t>7.75</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w:t>
            </w:r>
            <w:r>
              <w:rPr>
                <w:rFonts w:hint="default" w:ascii="Times New Roman" w:hAnsi="Times New Roman" w:eastAsia="Times New Roman"/>
                <w:color w:val="auto"/>
                <w:position w:val="0"/>
                <w:sz w:val="24"/>
                <w:szCs w:val="24"/>
              </w:rPr>
              <w:t>均满足</w:t>
            </w:r>
            <w:r>
              <w:rPr>
                <w:rFonts w:hint="default" w:ascii="Times New Roman" w:hAnsi="宋体" w:eastAsia="宋体"/>
                <w:color w:val="auto"/>
                <w:position w:val="0"/>
                <w:sz w:val="24"/>
                <w:szCs w:val="24"/>
              </w:rPr>
              <w:t>《污水排入下城镇水道水质标准》（GB/T31962-2015）表1中B等级标准。</w:t>
            </w:r>
            <w:r>
              <w:rPr>
                <w:rFonts w:hint="eastAsia" w:ascii="Times New Roman" w:hAnsi="Times New Roman" w:eastAsia="Times New Roman"/>
                <w:color w:val="auto"/>
                <w:position w:val="0"/>
                <w:sz w:val="24"/>
                <w:szCs w:val="24"/>
                <w:lang w:val="en-US" w:eastAsia="zh-CN"/>
              </w:rPr>
              <w:t>（CODcr≤500mg/L</w:t>
            </w:r>
            <w:r>
              <w:rPr>
                <w:rFonts w:hint="default" w:ascii="Times New Roman" w:hAnsi="Times New Roman" w:eastAsia="Times New Roman"/>
                <w:color w:val="auto"/>
                <w:position w:val="0"/>
                <w:sz w:val="24"/>
                <w:szCs w:val="24"/>
              </w:rPr>
              <w:t>、</w:t>
            </w:r>
            <w:r>
              <w:rPr>
                <w:rFonts w:hint="eastAsia" w:ascii="Times New Roman" w:hAnsi="Times New Roman" w:eastAsia="宋体"/>
                <w:color w:val="auto"/>
                <w:position w:val="0"/>
                <w:sz w:val="24"/>
                <w:szCs w:val="24"/>
                <w:lang w:val="en-US" w:eastAsia="zh-CN"/>
              </w:rPr>
              <w:t>BOD5</w:t>
            </w:r>
            <w:r>
              <w:rPr>
                <w:rFonts w:hint="eastAsia" w:ascii="Times New Roman" w:hAnsi="Times New Roman" w:eastAsia="Times New Roman"/>
                <w:color w:val="auto"/>
                <w:position w:val="0"/>
                <w:sz w:val="24"/>
                <w:szCs w:val="24"/>
                <w:lang w:val="en-US" w:eastAsia="zh-CN"/>
              </w:rPr>
              <w:t>≤350mg/L、SS≤400mg/L、氨氮≤45mg/L</w:t>
            </w:r>
            <w:r>
              <w:rPr>
                <w:rFonts w:hint="eastAsia" w:ascii="Times New Roman" w:hAnsi="Times New Roman"/>
                <w:color w:val="auto"/>
                <w:position w:val="0"/>
                <w:sz w:val="24"/>
                <w:szCs w:val="24"/>
                <w:lang w:val="en-US" w:eastAsia="zh-CN"/>
              </w:rPr>
              <w:t>、总磷</w:t>
            </w:r>
            <w:r>
              <w:rPr>
                <w:rFonts w:hint="eastAsia" w:ascii="Times New Roman" w:hAnsi="Times New Roman" w:eastAsia="Times New Roman"/>
                <w:color w:val="auto"/>
                <w:position w:val="0"/>
                <w:sz w:val="24"/>
                <w:szCs w:val="24"/>
                <w:lang w:val="en-US" w:eastAsia="zh-CN"/>
              </w:rPr>
              <w:t>≤</w:t>
            </w:r>
            <w:r>
              <w:rPr>
                <w:rFonts w:hint="eastAsia" w:ascii="Times New Roman" w:hAnsi="Times New Roman"/>
                <w:color w:val="auto"/>
                <w:position w:val="0"/>
                <w:sz w:val="24"/>
                <w:szCs w:val="24"/>
                <w:lang w:val="en-US" w:eastAsia="zh-CN"/>
              </w:rPr>
              <w:t>8</w:t>
            </w:r>
            <w:r>
              <w:rPr>
                <w:rFonts w:hint="eastAsia" w:ascii="Times New Roman" w:hAnsi="Times New Roman" w:eastAsia="Times New Roman"/>
                <w:color w:val="auto"/>
                <w:position w:val="0"/>
                <w:sz w:val="24"/>
                <w:szCs w:val="24"/>
                <w:lang w:val="en-US" w:eastAsia="zh-CN"/>
              </w:rPr>
              <w:t>mg/L</w:t>
            </w:r>
            <w:r>
              <w:rPr>
                <w:rFonts w:hint="eastAsia" w:ascii="Times New Roman" w:hAnsi="Times New Roman"/>
                <w:color w:val="auto"/>
                <w:position w:val="0"/>
                <w:sz w:val="24"/>
                <w:szCs w:val="24"/>
                <w:lang w:val="en-US" w:eastAsia="zh-CN"/>
              </w:rPr>
              <w:t>、PH值6.5~9.5、阴离子表面活性剂未检出</w:t>
            </w:r>
            <w:r>
              <w:rPr>
                <w:rFonts w:hint="eastAsia" w:ascii="Times New Roman" w:hAnsi="Times New Roman" w:eastAsia="Times New Roman"/>
                <w:color w:val="auto"/>
                <w:position w:val="0"/>
                <w:sz w:val="24"/>
                <w:szCs w:val="24"/>
                <w:lang w:val="en-US" w:eastAsia="zh-CN"/>
              </w:rPr>
              <w:t>）</w:t>
            </w:r>
            <w:r>
              <w:rPr>
                <w:rFonts w:hint="default" w:ascii="Times New Roman" w:hAnsi="Times New Roman" w:eastAsia="Times New Roman"/>
                <w:color w:val="auto"/>
                <w:position w:val="0"/>
                <w:sz w:val="24"/>
                <w:szCs w:val="24"/>
              </w:rPr>
              <w:t>。</w:t>
            </w:r>
            <w:r>
              <w:rPr>
                <w:rFonts w:hint="eastAsia" w:ascii="Times New Roman" w:hAnsi="Times New Roman" w:eastAsia="Times New Roman"/>
                <w:color w:val="auto"/>
                <w:position w:val="0"/>
                <w:sz w:val="24"/>
                <w:szCs w:val="24"/>
                <w:lang w:val="en-US" w:eastAsia="zh-CN"/>
              </w:rPr>
              <w:t>能够实现达标排放。</w:t>
            </w:r>
            <w:r>
              <w:rPr>
                <w:rFonts w:hint="eastAsia" w:ascii="Times New Roman" w:hAnsi="Times New Roman"/>
                <w:color w:val="auto"/>
                <w:position w:val="0"/>
                <w:sz w:val="24"/>
                <w:szCs w:val="24"/>
                <w:lang w:val="en-US" w:eastAsia="zh-CN"/>
              </w:rPr>
              <w:t>经过补测，水质达到要求。</w:t>
            </w:r>
          </w:p>
          <w:p>
            <w:pPr>
              <w:pStyle w:val="65"/>
              <w:pageBreakBefore w:val="0"/>
              <w:numPr>
                <w:ilvl w:val="0"/>
                <w:numId w:val="0"/>
              </w:numPr>
              <w:autoSpaceDE/>
              <w:autoSpaceDN/>
              <w:bidi w:val="0"/>
              <w:snapToGrid/>
              <w:spacing w:before="0" w:after="160" w:line="360" w:lineRule="auto"/>
              <w:ind w:right="0" w:firstLine="480"/>
              <w:jc w:val="both"/>
              <w:rPr>
                <w:rFonts w:hint="default" w:ascii="Times New Roman" w:hAnsi="Times New Roman" w:eastAsia="Times New Roman"/>
                <w:color w:val="auto"/>
                <w:position w:val="0"/>
                <w:sz w:val="24"/>
                <w:szCs w:val="24"/>
              </w:rPr>
            </w:pPr>
            <w:r>
              <w:rPr>
                <w:rFonts w:hint="eastAsia" w:ascii="Times New Roman" w:hAnsi="Times New Roman"/>
                <w:color w:val="auto"/>
                <w:position w:val="0"/>
                <w:sz w:val="24"/>
                <w:szCs w:val="24"/>
                <w:lang w:eastAsia="zh-CN"/>
              </w:rPr>
              <w:t>（</w:t>
            </w:r>
            <w:r>
              <w:rPr>
                <w:rFonts w:hint="eastAsia" w:ascii="Times New Roman" w:hAnsi="Times New Roman"/>
                <w:color w:val="auto"/>
                <w:position w:val="0"/>
                <w:sz w:val="24"/>
                <w:szCs w:val="24"/>
                <w:lang w:val="en-US" w:eastAsia="zh-CN"/>
              </w:rPr>
              <w:t>3</w:t>
            </w:r>
            <w:r>
              <w:rPr>
                <w:rFonts w:hint="eastAsia" w:ascii="Times New Roman" w:hAnsi="Times New Roman"/>
                <w:color w:val="auto"/>
                <w:position w:val="0"/>
                <w:sz w:val="24"/>
                <w:szCs w:val="24"/>
                <w:lang w:eastAsia="zh-CN"/>
              </w:rPr>
              <w:t>）</w:t>
            </w:r>
            <w:r>
              <w:rPr>
                <w:rFonts w:hint="default" w:ascii="Times New Roman" w:hAnsi="Times New Roman" w:eastAsia="Times New Roman"/>
                <w:color w:val="auto"/>
                <w:position w:val="0"/>
                <w:sz w:val="24"/>
                <w:szCs w:val="24"/>
              </w:rPr>
              <w:t xml:space="preserve">噪声         </w:t>
            </w:r>
          </w:p>
          <w:p>
            <w:pPr>
              <w:pStyle w:val="65"/>
              <w:pageBreakBefore w:val="0"/>
              <w:numPr>
                <w:ilvl w:val="0"/>
                <w:numId w:val="0"/>
              </w:numPr>
              <w:autoSpaceDE/>
              <w:autoSpaceDN/>
              <w:bidi w:val="0"/>
              <w:snapToGrid/>
              <w:spacing w:before="0" w:after="160" w:line="360" w:lineRule="auto"/>
              <w:ind w:right="0" w:firstLine="480"/>
              <w:jc w:val="both"/>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经监测，厂界环境昼间最大噪声值</w:t>
            </w:r>
            <w:r>
              <w:rPr>
                <w:rFonts w:hint="eastAsia" w:ascii="Times New Roman" w:hAnsi="Times New Roman" w:eastAsia="宋体"/>
                <w:color w:val="auto"/>
                <w:position w:val="0"/>
                <w:sz w:val="24"/>
                <w:szCs w:val="24"/>
                <w:lang w:val="en-US" w:eastAsia="zh-CN"/>
              </w:rPr>
              <w:t>56.9</w:t>
            </w:r>
            <w:r>
              <w:rPr>
                <w:rFonts w:hint="default" w:ascii="Times New Roman" w:hAnsi="Times New Roman" w:eastAsia="Times New Roman"/>
                <w:color w:val="auto"/>
                <w:position w:val="0"/>
                <w:sz w:val="24"/>
                <w:szCs w:val="24"/>
              </w:rPr>
              <w:t>dB（A），夜间最大噪声值为</w:t>
            </w:r>
            <w:r>
              <w:rPr>
                <w:rFonts w:hint="eastAsia" w:ascii="Times New Roman" w:hAnsi="Times New Roman" w:eastAsia="宋体"/>
                <w:color w:val="auto"/>
                <w:position w:val="0"/>
                <w:sz w:val="24"/>
                <w:szCs w:val="24"/>
                <w:lang w:val="en-US" w:eastAsia="zh-CN"/>
              </w:rPr>
              <w:t>47.1</w:t>
            </w:r>
            <w:r>
              <w:rPr>
                <w:rFonts w:hint="default" w:ascii="Times New Roman" w:hAnsi="Times New Roman" w:eastAsia="Times New Roman"/>
                <w:color w:val="auto"/>
                <w:position w:val="0"/>
                <w:sz w:val="24"/>
                <w:szCs w:val="24"/>
              </w:rPr>
              <w:t>dB（A），满足《工业企业厂界环境噪声排放标准》（GB12348-2008）中的2类标准要求。</w:t>
            </w:r>
          </w:p>
          <w:p>
            <w:pPr>
              <w:pageBreakBefore w:val="0"/>
              <w:numPr>
                <w:ilvl w:val="0"/>
                <w:numId w:val="0"/>
              </w:numPr>
              <w:autoSpaceDE w:val="0"/>
              <w:autoSpaceDN w:val="0"/>
              <w:bidi w:val="0"/>
              <w:snapToGrid w:val="0"/>
              <w:spacing w:before="0" w:after="0" w:line="360" w:lineRule="auto"/>
              <w:ind w:right="0" w:firstLine="480"/>
              <w:jc w:val="left"/>
              <w:rPr>
                <w:rFonts w:hint="default" w:ascii="Times New Roman" w:hAnsi="Times New Roman" w:eastAsia="Times New Roman"/>
                <w:color w:val="auto"/>
                <w:position w:val="0"/>
                <w:sz w:val="24"/>
                <w:szCs w:val="24"/>
              </w:rPr>
            </w:pPr>
            <w:r>
              <w:rPr>
                <w:rFonts w:hint="eastAsia" w:ascii="Times New Roman" w:hAnsi="Times New Roman" w:eastAsia="宋体"/>
                <w:color w:val="auto"/>
                <w:position w:val="0"/>
                <w:sz w:val="24"/>
                <w:szCs w:val="24"/>
                <w:lang w:eastAsia="zh-CN"/>
              </w:rPr>
              <w:t>（</w:t>
            </w:r>
            <w:r>
              <w:rPr>
                <w:rFonts w:hint="eastAsia" w:ascii="Times New Roman" w:hAnsi="Times New Roman" w:eastAsia="宋体"/>
                <w:color w:val="auto"/>
                <w:position w:val="0"/>
                <w:sz w:val="24"/>
                <w:szCs w:val="24"/>
                <w:lang w:val="en-US" w:eastAsia="zh-CN"/>
              </w:rPr>
              <w:t>4</w:t>
            </w:r>
            <w:r>
              <w:rPr>
                <w:rFonts w:hint="eastAsia" w:ascii="Times New Roman" w:hAnsi="Times New Roman" w:eastAsia="宋体"/>
                <w:color w:val="auto"/>
                <w:position w:val="0"/>
                <w:sz w:val="24"/>
                <w:szCs w:val="24"/>
                <w:lang w:eastAsia="zh-CN"/>
              </w:rPr>
              <w:t>）</w:t>
            </w:r>
            <w:r>
              <w:rPr>
                <w:rFonts w:hint="default" w:ascii="Times New Roman" w:hAnsi="Times New Roman" w:eastAsia="Times New Roman"/>
                <w:color w:val="auto"/>
                <w:position w:val="0"/>
                <w:sz w:val="24"/>
                <w:szCs w:val="24"/>
              </w:rPr>
              <w:t>固废</w:t>
            </w:r>
          </w:p>
          <w:p>
            <w:pPr>
              <w:numPr>
                <w:ilvl w:val="0"/>
                <w:numId w:val="0"/>
              </w:numPr>
              <w:autoSpaceDE/>
              <w:autoSpaceDN/>
              <w:snapToGrid w:val="0"/>
              <w:spacing w:before="0" w:after="0" w:line="360" w:lineRule="auto"/>
              <w:ind w:right="0" w:firstLine="480"/>
              <w:jc w:val="both"/>
              <w:rPr>
                <w:rFonts w:hint="default" w:ascii="Times New Roman" w:hAnsi="宋体" w:eastAsia="宋体"/>
                <w:b w:val="0"/>
                <w:color w:val="auto"/>
                <w:position w:val="0"/>
                <w:sz w:val="24"/>
                <w:szCs w:val="24"/>
                <w:lang w:val="en-US" w:eastAsia="zh-CN"/>
              </w:rPr>
            </w:pPr>
            <w:r>
              <w:rPr>
                <w:rFonts w:hint="default" w:ascii="Times New Roman" w:hAnsi="宋体" w:eastAsia="宋体" w:cs="宋体"/>
                <w:b w:val="0"/>
                <w:color w:val="auto"/>
                <w:w w:val="100"/>
                <w:position w:val="0"/>
                <w:sz w:val="24"/>
                <w:szCs w:val="24"/>
                <w:shd w:val="clear"/>
                <w:lang w:val="en-US" w:eastAsia="zh-CN"/>
              </w:rPr>
              <w:t>经核实，</w:t>
            </w:r>
            <w:r>
              <w:rPr>
                <w:rFonts w:hint="default" w:ascii="Times New Roman" w:hAnsi="宋体" w:eastAsia="宋体" w:cs="宋体"/>
                <w:b w:val="0"/>
                <w:color w:val="auto"/>
                <w:w w:val="100"/>
                <w:position w:val="0"/>
                <w:sz w:val="24"/>
                <w:szCs w:val="24"/>
                <w:shd w:val="clear"/>
                <w:lang w:val="zh-CN" w:eastAsia="zh-CN"/>
              </w:rPr>
              <w:t>废离子交换树脂属于危险废物，</w:t>
            </w:r>
            <w:r>
              <w:rPr>
                <w:rFonts w:hint="eastAsia" w:ascii="Times New Roman" w:hAnsi="宋体" w:eastAsia="宋体" w:cs="宋体"/>
                <w:b w:val="0"/>
                <w:color w:val="auto"/>
                <w:w w:val="100"/>
                <w:position w:val="0"/>
                <w:sz w:val="24"/>
                <w:szCs w:val="24"/>
                <w:shd w:val="clear"/>
                <w:lang w:val="en-US" w:eastAsia="zh-CN"/>
              </w:rPr>
              <w:t>暂存于危废间内，</w:t>
            </w:r>
            <w:r>
              <w:rPr>
                <w:rFonts w:hint="default" w:ascii="Times New Roman" w:hAnsi="宋体" w:eastAsia="宋体" w:cs="宋体"/>
                <w:b w:val="0"/>
                <w:color w:val="auto"/>
                <w:w w:val="100"/>
                <w:position w:val="0"/>
                <w:sz w:val="24"/>
                <w:szCs w:val="24"/>
                <w:shd w:val="clear"/>
                <w:lang w:val="zh-CN" w:eastAsia="zh-CN"/>
              </w:rPr>
              <w:t>交由有相关资质的单位进行处理，并执行联单转移制度:生活垃圾和干污泥收集后由环卫部门统一处理</w:t>
            </w:r>
            <w:r>
              <w:rPr>
                <w:rFonts w:hint="eastAsia" w:ascii="Times New Roman" w:hAnsi="宋体" w:eastAsia="宋体" w:cs="宋体"/>
                <w:b w:val="0"/>
                <w:color w:val="auto"/>
                <w:w w:val="100"/>
                <w:position w:val="0"/>
                <w:sz w:val="24"/>
                <w:szCs w:val="24"/>
                <w:shd w:val="clear"/>
                <w:lang w:val="zh-CN" w:eastAsia="zh-CN"/>
              </w:rPr>
              <w:t>。</w:t>
            </w:r>
            <w:r>
              <w:rPr>
                <w:rFonts w:hint="eastAsia" w:ascii="Times New Roman" w:hAnsi="宋体" w:eastAsia="宋体" w:cs="宋体"/>
                <w:b w:val="0"/>
                <w:color w:val="auto"/>
                <w:w w:val="100"/>
                <w:position w:val="0"/>
                <w:sz w:val="24"/>
                <w:szCs w:val="24"/>
                <w:shd w:val="clear"/>
                <w:lang w:val="en-US" w:eastAsia="zh-CN"/>
              </w:rPr>
              <w:t>下脚料收集后外售综合利用。</w:t>
            </w:r>
          </w:p>
          <w:p>
            <w:pPr>
              <w:numPr>
                <w:ilvl w:val="0"/>
                <w:numId w:val="0"/>
              </w:numPr>
              <w:autoSpaceDE/>
              <w:autoSpaceDN/>
              <w:snapToGrid w:val="0"/>
              <w:spacing w:before="0" w:after="0" w:line="360" w:lineRule="auto"/>
              <w:ind w:right="0" w:firstLine="480"/>
              <w:jc w:val="both"/>
              <w:rPr>
                <w:rFonts w:hint="default" w:ascii="Times New Roman" w:hAnsi="宋体" w:eastAsia="宋体"/>
                <w:b w:val="0"/>
                <w:color w:val="auto"/>
                <w:position w:val="0"/>
                <w:sz w:val="24"/>
                <w:szCs w:val="24"/>
              </w:rPr>
            </w:pPr>
          </w:p>
          <w:p>
            <w:pPr>
              <w:pStyle w:val="6"/>
              <w:pageBreakBefore w:val="0"/>
              <w:numPr>
                <w:ilvl w:val="0"/>
                <w:numId w:val="0"/>
              </w:numPr>
              <w:autoSpaceDE/>
              <w:autoSpaceDN/>
              <w:bidi w:val="0"/>
              <w:snapToGrid w:val="0"/>
              <w:spacing w:before="0" w:after="0" w:line="360" w:lineRule="auto"/>
              <w:ind w:right="0" w:firstLine="480"/>
              <w:jc w:val="left"/>
              <w:outlineLvl w:val="1"/>
              <w:rPr>
                <w:rFonts w:hint="default" w:ascii="宋体" w:hAnsi="宋体" w:eastAsia="宋体"/>
                <w:b w:val="0"/>
                <w:color w:val="auto"/>
                <w:position w:val="0"/>
                <w:sz w:val="24"/>
                <w:szCs w:val="24"/>
              </w:rPr>
            </w:pPr>
            <w:r>
              <w:rPr>
                <w:rFonts w:hint="eastAsia" w:ascii="宋体" w:hAnsi="宋体" w:eastAsia="宋体"/>
                <w:b w:val="0"/>
                <w:color w:val="auto"/>
                <w:position w:val="0"/>
                <w:sz w:val="24"/>
                <w:szCs w:val="24"/>
                <w:lang w:val="en-US" w:eastAsia="zh-CN"/>
              </w:rPr>
              <w:t>9</w:t>
            </w:r>
            <w:r>
              <w:rPr>
                <w:rFonts w:hint="default" w:ascii="宋体" w:hAnsi="宋体" w:eastAsia="宋体"/>
                <w:b w:val="0"/>
                <w:color w:val="auto"/>
                <w:position w:val="0"/>
                <w:sz w:val="24"/>
                <w:szCs w:val="24"/>
              </w:rPr>
              <w:t>、验收监测期间工况调查</w:t>
            </w:r>
          </w:p>
          <w:p>
            <w:pPr>
              <w:pageBreakBefore w:val="0"/>
              <w:numPr>
                <w:ilvl w:val="0"/>
                <w:numId w:val="0"/>
              </w:numPr>
              <w:autoSpaceDE/>
              <w:autoSpaceDN/>
              <w:bidi w:val="0"/>
              <w:snapToGrid w:val="0"/>
              <w:spacing w:before="0" w:after="0" w:line="360" w:lineRule="auto"/>
              <w:ind w:right="0" w:firstLine="480"/>
              <w:jc w:val="left"/>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通过调查，验收监测期间，</w:t>
            </w:r>
            <w:r>
              <w:rPr>
                <w:rFonts w:hint="eastAsia" w:ascii="宋体" w:hAnsi="宋体" w:eastAsia="宋体"/>
                <w:color w:val="auto"/>
                <w:position w:val="0"/>
                <w:sz w:val="24"/>
                <w:szCs w:val="24"/>
                <w:lang w:val="en-US" w:eastAsia="zh-CN"/>
              </w:rPr>
              <w:t>菏泽鼎侨发制品有限公司</w:t>
            </w:r>
            <w:r>
              <w:rPr>
                <w:rFonts w:hint="eastAsia" w:ascii="Times New Roman" w:hAnsi="宋体" w:eastAsia="宋体" w:cs="宋体"/>
                <w:color w:val="auto"/>
                <w:position w:val="0"/>
                <w:sz w:val="24"/>
                <w:szCs w:val="24"/>
                <w:lang w:val="en-US" w:eastAsia="zh-CN"/>
              </w:rPr>
              <w:t>年产40吨发制品项目 （一期）年产20吨发制品</w:t>
            </w:r>
            <w:r>
              <w:rPr>
                <w:rFonts w:hint="default" w:ascii="Times New Roman" w:hAnsi="Times New Roman" w:eastAsia="Times New Roman"/>
                <w:color w:val="auto"/>
                <w:position w:val="0"/>
                <w:sz w:val="24"/>
                <w:szCs w:val="24"/>
              </w:rPr>
              <w:t>工况较稳定，该项目在现场监测期间工况负荷75%以上，符合验收监测对工况的要求。因此本次监测期间的工况为有效工况，监测结果具有代表性，能够作为该项目竣工环境保护验收依据。</w:t>
            </w:r>
          </w:p>
          <w:p>
            <w:pPr>
              <w:pStyle w:val="6"/>
              <w:pageBreakBefore w:val="0"/>
              <w:numPr>
                <w:ilvl w:val="0"/>
                <w:numId w:val="0"/>
              </w:numPr>
              <w:autoSpaceDE/>
              <w:autoSpaceDN/>
              <w:bidi w:val="0"/>
              <w:snapToGrid w:val="0"/>
              <w:spacing w:before="0" w:after="0" w:line="360" w:lineRule="auto"/>
              <w:ind w:right="0" w:firstLine="480"/>
              <w:jc w:val="left"/>
              <w:outlineLvl w:val="1"/>
              <w:rPr>
                <w:rFonts w:hint="default" w:ascii="Times New Roman" w:hAnsi="Times New Roman" w:eastAsia="Times New Roman"/>
                <w:b w:val="0"/>
                <w:color w:val="auto"/>
                <w:position w:val="0"/>
                <w:sz w:val="28"/>
                <w:szCs w:val="28"/>
              </w:rPr>
            </w:pPr>
            <w:bookmarkStart w:id="38" w:name="_Toc9405"/>
            <w:bookmarkStart w:id="39" w:name="_Toc5585"/>
            <w:bookmarkStart w:id="40" w:name="_Toc30208"/>
            <w:bookmarkStart w:id="41" w:name="_Toc920"/>
            <w:r>
              <w:rPr>
                <w:rFonts w:hint="eastAsia" w:ascii="Times New Roman" w:hAnsi="Times New Roman" w:eastAsia="宋体"/>
                <w:b w:val="0"/>
                <w:color w:val="auto"/>
                <w:position w:val="0"/>
                <w:sz w:val="24"/>
                <w:szCs w:val="24"/>
                <w:lang w:val="en-US" w:eastAsia="zh-CN"/>
              </w:rPr>
              <w:t>10</w:t>
            </w:r>
            <w:r>
              <w:rPr>
                <w:rFonts w:hint="default" w:ascii="Times New Roman" w:hAnsi="Times New Roman" w:eastAsia="Times New Roman"/>
                <w:b w:val="0"/>
                <w:color w:val="auto"/>
                <w:position w:val="0"/>
                <w:sz w:val="24"/>
                <w:szCs w:val="24"/>
              </w:rPr>
              <w:t>、总量控制</w:t>
            </w:r>
            <w:bookmarkEnd w:id="38"/>
            <w:bookmarkEnd w:id="39"/>
            <w:bookmarkEnd w:id="40"/>
            <w:bookmarkEnd w:id="41"/>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bookmarkStart w:id="42" w:name="_Toc27216"/>
            <w:bookmarkStart w:id="43" w:name="_Toc15793"/>
            <w:bookmarkStart w:id="44" w:name="_Toc3753"/>
            <w:bookmarkStart w:id="45" w:name="_Toc10603"/>
            <w:r>
              <w:rPr>
                <w:rFonts w:hint="default" w:ascii="Times New Roman" w:hAnsi="宋体" w:eastAsia="宋体" w:cs="宋体"/>
                <w:b w:val="0"/>
                <w:color w:val="auto"/>
                <w:w w:val="100"/>
                <w:position w:val="0"/>
                <w:sz w:val="24"/>
                <w:szCs w:val="24"/>
                <w:shd w:val="clear"/>
                <w:lang w:val="zh-CN" w:eastAsia="zh-CN"/>
              </w:rPr>
              <w:t>项目运营期无S</w:t>
            </w:r>
            <w:r>
              <w:rPr>
                <w:rFonts w:hint="default" w:ascii="Times New Roman" w:hAnsi="宋体" w:eastAsia="宋体" w:cs="宋体"/>
                <w:b w:val="0"/>
                <w:color w:val="auto"/>
                <w:w w:val="100"/>
                <w:position w:val="0"/>
                <w:sz w:val="24"/>
                <w:szCs w:val="24"/>
                <w:shd w:val="clear"/>
                <w:lang w:val="en-US" w:eastAsia="zh-CN"/>
              </w:rPr>
              <w:t>O</w:t>
            </w:r>
            <w:r>
              <w:rPr>
                <w:rFonts w:hint="default" w:ascii="Times New Roman" w:hAnsi="宋体" w:eastAsia="宋体" w:cs="宋体"/>
                <w:b w:val="0"/>
                <w:color w:val="auto"/>
                <w:w w:val="100"/>
                <w:position w:val="0"/>
                <w:sz w:val="24"/>
                <w:szCs w:val="24"/>
                <w:shd w:val="clear"/>
                <w:lang w:val="en-US" w:eastAsia="en-US"/>
              </w:rPr>
              <w:t>2</w:t>
            </w:r>
            <w:r>
              <w:rPr>
                <w:rFonts w:hint="default" w:ascii="Times New Roman" w:hAnsi="宋体" w:eastAsia="宋体" w:cs="宋体"/>
                <w:b w:val="0"/>
                <w:color w:val="auto"/>
                <w:w w:val="100"/>
                <w:position w:val="0"/>
                <w:sz w:val="24"/>
                <w:szCs w:val="24"/>
                <w:shd w:val="clear"/>
                <w:lang w:val="zh-CN" w:eastAsia="zh-CN"/>
              </w:rPr>
              <w:t>和NOx产生，因此不考虑对其S</w:t>
            </w:r>
            <w:r>
              <w:rPr>
                <w:rFonts w:hint="default" w:ascii="Times New Roman" w:hAnsi="宋体" w:eastAsia="宋体" w:cs="宋体"/>
                <w:b w:val="0"/>
                <w:color w:val="auto"/>
                <w:w w:val="100"/>
                <w:position w:val="0"/>
                <w:sz w:val="24"/>
                <w:szCs w:val="24"/>
                <w:shd w:val="clear"/>
                <w:lang w:val="en-US" w:eastAsia="en-US"/>
              </w:rPr>
              <w:t>02</w:t>
            </w:r>
            <w:r>
              <w:rPr>
                <w:rFonts w:hint="default" w:ascii="Times New Roman" w:hAnsi="宋体" w:eastAsia="宋体" w:cs="宋体"/>
                <w:b w:val="0"/>
                <w:color w:val="auto"/>
                <w:w w:val="100"/>
                <w:position w:val="0"/>
                <w:sz w:val="24"/>
                <w:szCs w:val="24"/>
                <w:shd w:val="clear"/>
                <w:lang w:val="zh-CN" w:eastAsia="zh-CN"/>
              </w:rPr>
              <w:t>和NOx总置进行控制。</w:t>
            </w:r>
          </w:p>
          <w:p>
            <w:pPr>
              <w:pStyle w:val="40"/>
              <w:keepNext w:val="0"/>
              <w:keepLines w:val="0"/>
              <w:pageBreakBefore w:val="0"/>
              <w:numPr>
                <w:ilvl w:val="0"/>
                <w:numId w:val="0"/>
              </w:numPr>
              <w:kinsoku/>
              <w:overflowPunct/>
              <w:topLinePunct w:val="0"/>
              <w:autoSpaceDE w:val="0"/>
              <w:autoSpaceDN w:val="0"/>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建设项目废水经厂区污水处理站预处理达《污水排入城镇下水道水质标准》 (GB</w:t>
            </w:r>
            <w:r>
              <w:rPr>
                <w:rFonts w:hint="default" w:ascii="Times New Roman" w:hAnsi="宋体" w:eastAsia="宋体" w:cs="宋体"/>
                <w:b w:val="0"/>
                <w:color w:val="auto"/>
                <w:w w:val="100"/>
                <w:position w:val="0"/>
                <w:sz w:val="24"/>
                <w:szCs w:val="24"/>
                <w:shd w:val="clear"/>
                <w:lang w:val="en-US" w:eastAsia="zh-CN"/>
              </w:rPr>
              <w:t>/T</w:t>
            </w:r>
            <w:r>
              <w:rPr>
                <w:rFonts w:hint="default" w:ascii="Times New Roman" w:hAnsi="宋体" w:eastAsia="宋体" w:cs="宋体"/>
                <w:b w:val="0"/>
                <w:color w:val="auto"/>
                <w:w w:val="100"/>
                <w:position w:val="0"/>
                <w:sz w:val="24"/>
                <w:szCs w:val="24"/>
                <w:shd w:val="clear"/>
                <w:lang w:val="zh-CN" w:eastAsia="zh-CN"/>
              </w:rPr>
              <w:t xml:space="preserve"> </w:t>
            </w:r>
            <w:r>
              <w:rPr>
                <w:rFonts w:hint="default" w:ascii="Times New Roman" w:hAnsi="宋体" w:eastAsia="宋体" w:cs="宋体"/>
                <w:b w:val="0"/>
                <w:color w:val="auto"/>
                <w:w w:val="100"/>
                <w:position w:val="0"/>
                <w:sz w:val="24"/>
                <w:szCs w:val="24"/>
                <w:shd w:val="clear"/>
                <w:lang w:val="en-US" w:eastAsia="en-US"/>
              </w:rPr>
              <w:t>31962-2015)</w:t>
            </w:r>
            <w:r>
              <w:rPr>
                <w:rFonts w:hint="default" w:ascii="Times New Roman" w:hAnsi="宋体" w:eastAsia="宋体" w:cs="宋体"/>
                <w:b w:val="0"/>
                <w:color w:val="auto"/>
                <w:w w:val="100"/>
                <w:position w:val="0"/>
                <w:sz w:val="24"/>
                <w:szCs w:val="24"/>
                <w:shd w:val="clear"/>
                <w:lang w:val="zh-CN" w:eastAsia="zh-CN"/>
              </w:rPr>
              <w:t>表</w:t>
            </w:r>
            <w:r>
              <w:rPr>
                <w:rFonts w:hint="default" w:ascii="Times New Roman" w:hAnsi="宋体" w:eastAsia="宋体" w:cs="宋体"/>
                <w:b w:val="0"/>
                <w:color w:val="auto"/>
                <w:w w:val="100"/>
                <w:position w:val="0"/>
                <w:sz w:val="24"/>
                <w:szCs w:val="24"/>
                <w:shd w:val="clear"/>
                <w:lang w:val="en-US" w:eastAsia="en-US"/>
              </w:rPr>
              <w:t>1</w:t>
            </w:r>
            <w:r>
              <w:rPr>
                <w:rFonts w:hint="default" w:ascii="Times New Roman" w:hAnsi="宋体" w:eastAsia="宋体" w:cs="宋体"/>
                <w:b w:val="0"/>
                <w:color w:val="auto"/>
                <w:w w:val="100"/>
                <w:position w:val="0"/>
                <w:sz w:val="24"/>
                <w:szCs w:val="24"/>
                <w:shd w:val="clear"/>
                <w:lang w:val="zh-CN" w:eastAsia="zh-CN"/>
              </w:rPr>
              <w:t>中B等级标准及污水处理厂接管要求，经市政污水管网排至</w:t>
            </w:r>
            <w:r>
              <w:rPr>
                <w:rFonts w:hint="eastAsia" w:ascii="Times New Roman" w:hAnsi="宋体" w:eastAsia="宋体" w:cs="宋体"/>
                <w:b w:val="0"/>
                <w:color w:val="auto"/>
                <w:w w:val="100"/>
                <w:position w:val="0"/>
                <w:sz w:val="24"/>
                <w:szCs w:val="24"/>
                <w:shd w:val="clear"/>
                <w:lang w:val="en-US" w:eastAsia="zh-CN"/>
              </w:rPr>
              <w:t>鄄城县第</w:t>
            </w:r>
            <w:r>
              <w:rPr>
                <w:rFonts w:hint="eastAsia" w:ascii="Times New Roman" w:cs="宋体"/>
                <w:b w:val="0"/>
                <w:color w:val="auto"/>
                <w:w w:val="100"/>
                <w:position w:val="0"/>
                <w:sz w:val="24"/>
                <w:szCs w:val="24"/>
                <w:shd w:val="clear"/>
                <w:lang w:val="en-US" w:eastAsia="zh-CN"/>
              </w:rPr>
              <w:t>一</w:t>
            </w:r>
            <w:r>
              <w:rPr>
                <w:rFonts w:hint="eastAsia" w:ascii="Times New Roman" w:hAnsi="宋体" w:eastAsia="宋体" w:cs="宋体"/>
                <w:b w:val="0"/>
                <w:color w:val="auto"/>
                <w:w w:val="100"/>
                <w:position w:val="0"/>
                <w:sz w:val="24"/>
                <w:szCs w:val="24"/>
                <w:shd w:val="clear"/>
                <w:lang w:val="en-US" w:eastAsia="zh-CN"/>
              </w:rPr>
              <w:t>人发产业园污水处理厂</w:t>
            </w:r>
            <w:r>
              <w:rPr>
                <w:rFonts w:hint="default" w:ascii="Times New Roman" w:hAnsi="宋体" w:eastAsia="宋体" w:cs="宋体"/>
                <w:b w:val="0"/>
                <w:color w:val="auto"/>
                <w:w w:val="100"/>
                <w:position w:val="0"/>
                <w:sz w:val="24"/>
                <w:szCs w:val="24"/>
                <w:shd w:val="clear"/>
                <w:lang w:val="zh-CN" w:eastAsia="zh-CN"/>
              </w:rPr>
              <w:t>。本项目产生的COD</w:t>
            </w:r>
            <w:r>
              <w:rPr>
                <w:rFonts w:hint="default" w:ascii="Times New Roman" w:hAnsi="宋体" w:eastAsia="宋体" w:cs="宋体"/>
                <w:b w:val="0"/>
                <w:color w:val="auto"/>
                <w:w w:val="100"/>
                <w:position w:val="0"/>
                <w:sz w:val="24"/>
                <w:szCs w:val="24"/>
                <w:shd w:val="clear"/>
                <w:lang w:val="en-US" w:eastAsia="en-US"/>
              </w:rPr>
              <w:t>、</w:t>
            </w:r>
            <w:r>
              <w:rPr>
                <w:rFonts w:hint="default" w:ascii="Times New Roman" w:hAnsi="宋体" w:eastAsia="宋体" w:cs="宋体"/>
                <w:b w:val="0"/>
                <w:color w:val="auto"/>
                <w:w w:val="100"/>
                <w:position w:val="0"/>
                <w:sz w:val="24"/>
                <w:szCs w:val="24"/>
                <w:shd w:val="clear"/>
                <w:lang w:val="zh-CN" w:eastAsia="zh-CN"/>
              </w:rPr>
              <w:t>氨氮已包含在</w:t>
            </w:r>
            <w:r>
              <w:rPr>
                <w:rFonts w:hint="eastAsia" w:ascii="Times New Roman" w:hAnsi="宋体" w:eastAsia="宋体" w:cs="宋体"/>
                <w:b w:val="0"/>
                <w:color w:val="auto"/>
                <w:w w:val="100"/>
                <w:position w:val="0"/>
                <w:sz w:val="24"/>
                <w:szCs w:val="24"/>
                <w:shd w:val="clear"/>
                <w:lang w:val="en-US" w:eastAsia="zh-CN"/>
              </w:rPr>
              <w:t>鄄城县第</w:t>
            </w:r>
            <w:r>
              <w:rPr>
                <w:rFonts w:hint="eastAsia" w:ascii="Times New Roman" w:cs="宋体"/>
                <w:b w:val="0"/>
                <w:color w:val="auto"/>
                <w:w w:val="100"/>
                <w:position w:val="0"/>
                <w:sz w:val="24"/>
                <w:szCs w:val="24"/>
                <w:shd w:val="clear"/>
                <w:lang w:val="en-US" w:eastAsia="zh-CN"/>
              </w:rPr>
              <w:t>一</w:t>
            </w:r>
            <w:r>
              <w:rPr>
                <w:rFonts w:hint="eastAsia" w:ascii="Times New Roman" w:hAnsi="宋体" w:eastAsia="宋体" w:cs="宋体"/>
                <w:b w:val="0"/>
                <w:color w:val="auto"/>
                <w:w w:val="100"/>
                <w:position w:val="0"/>
                <w:sz w:val="24"/>
                <w:szCs w:val="24"/>
                <w:shd w:val="clear"/>
                <w:lang w:val="en-US" w:eastAsia="zh-CN"/>
              </w:rPr>
              <w:t>人发产业园污水处理厂</w:t>
            </w:r>
            <w:r>
              <w:rPr>
                <w:rFonts w:hint="default" w:ascii="Times New Roman" w:hAnsi="宋体" w:eastAsia="宋体" w:cs="宋体"/>
                <w:b w:val="0"/>
                <w:color w:val="auto"/>
                <w:w w:val="100"/>
                <w:position w:val="0"/>
                <w:sz w:val="24"/>
                <w:szCs w:val="24"/>
                <w:shd w:val="clear"/>
                <w:lang w:val="zh-CN" w:eastAsia="zh-CN"/>
              </w:rPr>
              <w:t>总量控制指标内，且污水处理厂尚有一定污水处理余量，因此本项目不需新増COD</w:t>
            </w:r>
            <w:r>
              <w:rPr>
                <w:rFonts w:hint="default" w:ascii="Times New Roman" w:hAnsi="宋体" w:eastAsia="宋体" w:cs="宋体"/>
                <w:b w:val="0"/>
                <w:color w:val="auto"/>
                <w:w w:val="100"/>
                <w:position w:val="0"/>
                <w:sz w:val="24"/>
                <w:szCs w:val="24"/>
                <w:shd w:val="clear"/>
                <w:lang w:val="en-US" w:eastAsia="en-US"/>
              </w:rPr>
              <w:t>、</w:t>
            </w:r>
            <w:r>
              <w:rPr>
                <w:rFonts w:hint="default" w:ascii="Times New Roman" w:hAnsi="宋体" w:eastAsia="宋体" w:cs="宋体"/>
                <w:b w:val="0"/>
                <w:color w:val="auto"/>
                <w:w w:val="100"/>
                <w:position w:val="0"/>
                <w:sz w:val="24"/>
                <w:szCs w:val="24"/>
                <w:shd w:val="clear"/>
                <w:lang w:val="zh-CN" w:eastAsia="zh-CN"/>
              </w:rPr>
              <w:t>氨氮总量控制指标。因此，本项目无需申请总量控制指标。</w:t>
            </w:r>
          </w:p>
          <w:p>
            <w:pPr>
              <w:pStyle w:val="6"/>
              <w:pageBreakBefore w:val="0"/>
              <w:numPr>
                <w:ilvl w:val="0"/>
                <w:numId w:val="0"/>
              </w:numPr>
              <w:autoSpaceDE/>
              <w:autoSpaceDN/>
              <w:bidi w:val="0"/>
              <w:snapToGrid w:val="0"/>
              <w:spacing w:before="0" w:after="0" w:line="360" w:lineRule="auto"/>
              <w:ind w:right="0" w:firstLine="480"/>
              <w:jc w:val="left"/>
              <w:outlineLvl w:val="1"/>
              <w:rPr>
                <w:rFonts w:hint="default" w:ascii="Times New Roman" w:hAnsi="Times New Roman" w:eastAsia="Times New Roman"/>
                <w:b w:val="0"/>
                <w:color w:val="auto"/>
                <w:position w:val="0"/>
                <w:sz w:val="24"/>
                <w:szCs w:val="24"/>
              </w:rPr>
            </w:pPr>
            <w:r>
              <w:rPr>
                <w:rFonts w:hint="eastAsia" w:ascii="Times New Roman" w:hAnsi="Times New Roman" w:eastAsia="宋体"/>
                <w:b w:val="0"/>
                <w:color w:val="auto"/>
                <w:position w:val="0"/>
                <w:sz w:val="24"/>
                <w:szCs w:val="24"/>
                <w:lang w:val="en-US" w:eastAsia="zh-CN"/>
              </w:rPr>
              <w:t>11</w:t>
            </w:r>
            <w:r>
              <w:rPr>
                <w:rFonts w:hint="default" w:ascii="Times New Roman" w:hAnsi="Times New Roman" w:eastAsia="Times New Roman"/>
                <w:b w:val="0"/>
                <w:color w:val="auto"/>
                <w:position w:val="0"/>
                <w:sz w:val="24"/>
                <w:szCs w:val="24"/>
              </w:rPr>
              <w:t>、验收总结论</w:t>
            </w:r>
            <w:bookmarkEnd w:id="42"/>
            <w:bookmarkEnd w:id="43"/>
            <w:bookmarkEnd w:id="44"/>
            <w:bookmarkEnd w:id="45"/>
          </w:p>
          <w:p>
            <w:pPr>
              <w:pStyle w:val="66"/>
              <w:pageBreakBefore w:val="0"/>
              <w:numPr>
                <w:ilvl w:val="0"/>
                <w:numId w:val="0"/>
              </w:numPr>
              <w:autoSpaceDE/>
              <w:autoSpaceDN/>
              <w:bidi w:val="0"/>
              <w:snapToGrid w:val="0"/>
              <w:spacing w:before="0" w:after="0" w:line="360" w:lineRule="auto"/>
              <w:ind w:right="0" w:firstLine="470"/>
              <w:jc w:val="both"/>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该项目建设方严格遵守《中华人民共和国环境影响评价法》和《建设项目环境保护管理条例》中的有关规定，各项环保审批手续齐全，环评报告表以及菏泽市</w:t>
            </w:r>
            <w:r>
              <w:rPr>
                <w:rFonts w:hint="eastAsia" w:eastAsia="宋体"/>
                <w:color w:val="auto"/>
                <w:position w:val="0"/>
                <w:sz w:val="24"/>
                <w:szCs w:val="24"/>
                <w:lang w:val="en-US" w:eastAsia="zh-CN"/>
              </w:rPr>
              <w:t>高新区</w:t>
            </w:r>
            <w:r>
              <w:rPr>
                <w:rFonts w:hint="default" w:ascii="Times New Roman" w:hAnsi="Times New Roman" w:eastAsia="Times New Roman"/>
                <w:color w:val="auto"/>
                <w:position w:val="0"/>
                <w:sz w:val="24"/>
                <w:szCs w:val="24"/>
              </w:rPr>
              <w:t>环境保护局对该项目环评批复中要求建设的各项环保措施均已得到落实。</w:t>
            </w:r>
          </w:p>
          <w:p>
            <w:pPr>
              <w:pStyle w:val="65"/>
              <w:pageBreakBefore w:val="0"/>
              <w:numPr>
                <w:ilvl w:val="0"/>
                <w:numId w:val="0"/>
              </w:numPr>
              <w:autoSpaceDE/>
              <w:autoSpaceDN/>
              <w:bidi w:val="0"/>
              <w:snapToGrid/>
              <w:spacing w:before="0" w:after="160" w:line="360" w:lineRule="auto"/>
              <w:ind w:right="0" w:firstLine="480"/>
              <w:jc w:val="both"/>
              <w:rPr>
                <w:rFonts w:hint="default" w:ascii="宋体" w:hAnsi="宋体" w:eastAsia="宋体"/>
                <w:color w:val="auto"/>
                <w:position w:val="0"/>
                <w:sz w:val="24"/>
                <w:szCs w:val="24"/>
              </w:rPr>
            </w:pPr>
            <w:r>
              <w:rPr>
                <w:rFonts w:hint="default" w:ascii="Times New Roman" w:hAnsi="Times New Roman" w:eastAsia="Times New Roman"/>
                <w:color w:val="auto"/>
                <w:position w:val="0"/>
                <w:sz w:val="24"/>
                <w:szCs w:val="24"/>
              </w:rPr>
              <w:t>监测期间的运行负荷符合验收规定，监测数据有效。监测期间，所监测的项目均满足有关标准或文件要求，废气中污染物排放浓度或排放速率均满足有关标准要求，固体废物贮存及处置合理、得当。</w:t>
            </w:r>
            <w:r>
              <w:rPr>
                <w:rFonts w:hint="default" w:ascii="Calibri" w:hAnsi="Times New Roman" w:eastAsia="Times New Roman"/>
                <w:color w:val="auto"/>
                <w:position w:val="0"/>
                <w:sz w:val="24"/>
                <w:szCs w:val="24"/>
              </w:rPr>
              <w:t>本项目满足竣工环境保护验收条件。</w:t>
            </w:r>
          </w:p>
        </w:tc>
      </w:tr>
    </w:tbl>
    <w:p>
      <w:pPr>
        <w:pStyle w:val="21"/>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sectPr>
          <w:footerReference r:id="rId6" w:type="default"/>
          <w:pgSz w:w="11850" w:h="16783"/>
          <w:pgMar w:top="1440" w:right="1800" w:bottom="1440" w:left="1800" w:header="851" w:footer="992" w:gutter="0"/>
          <w:pgNumType w:fmt="numberInDash"/>
          <w:docGrid w:type="lines" w:linePitch="312" w:charSpace="0"/>
        </w:sectPr>
      </w:pPr>
    </w:p>
    <w:p>
      <w:pPr>
        <w:spacing w:after="0" w:line="300" w:lineRule="exact"/>
        <w:jc w:val="center"/>
        <w:rPr>
          <w:rFonts w:eastAsia="黑体"/>
          <w:b/>
          <w:color w:val="000000"/>
          <w:sz w:val="21"/>
          <w:szCs w:val="21"/>
        </w:rPr>
      </w:pPr>
      <w:bookmarkStart w:id="46" w:name="_Toc16880"/>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p>
      <w:pPr>
        <w:rPr>
          <w:rFonts w:hint="default" w:ascii="宋体" w:hAnsi="宋体" w:eastAsia="宋体"/>
          <w:b w:val="0"/>
          <w:color w:val="auto"/>
          <w:position w:val="0"/>
          <w:sz w:val="24"/>
          <w:szCs w:val="24"/>
        </w:rPr>
      </w:pPr>
    </w:p>
    <w:bookmarkEnd w:id="46"/>
    <w:tbl>
      <w:tblPr>
        <w:tblStyle w:val="33"/>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261"/>
        <w:gridCol w:w="535"/>
        <w:gridCol w:w="828"/>
        <w:gridCol w:w="1337"/>
        <w:gridCol w:w="900"/>
        <w:gridCol w:w="900"/>
        <w:gridCol w:w="540"/>
        <w:gridCol w:w="540"/>
        <w:gridCol w:w="1080"/>
        <w:gridCol w:w="1080"/>
        <w:gridCol w:w="1980"/>
        <w:gridCol w:w="1157"/>
        <w:gridCol w:w="463"/>
        <w:gridCol w:w="781"/>
        <w:gridCol w:w="1019"/>
        <w:gridCol w:w="83"/>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restart"/>
            <w:noWrap w:val="0"/>
            <w:tcMar>
              <w:left w:w="57" w:type="dxa"/>
              <w:right w:w="57" w:type="dxa"/>
            </w:tcMar>
            <w:textDirection w:val="tbRlV"/>
            <w:vAlign w:val="center"/>
          </w:tcPr>
          <w:p>
            <w:pPr>
              <w:spacing w:after="0"/>
              <w:ind w:left="113" w:right="113"/>
              <w:jc w:val="center"/>
              <w:rPr>
                <w:b/>
                <w:color w:val="000000"/>
                <w:kern w:val="2"/>
                <w:sz w:val="15"/>
                <w:szCs w:val="15"/>
              </w:rPr>
            </w:pPr>
            <w:r>
              <w:rPr>
                <w:b/>
                <w:color w:val="000000"/>
                <w:kern w:val="2"/>
                <w:sz w:val="15"/>
                <w:szCs w:val="15"/>
              </w:rPr>
              <w:t>建设项目</w:t>
            </w: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项目名称</w:t>
            </w:r>
          </w:p>
        </w:tc>
        <w:tc>
          <w:tcPr>
            <w:tcW w:w="5045" w:type="dxa"/>
            <w:gridSpan w:val="6"/>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cs="宋体"/>
                <w:sz w:val="21"/>
                <w:szCs w:val="21"/>
                <w:lang w:val="en-US" w:eastAsia="zh-CN"/>
              </w:rPr>
              <w:t>菏泽鼎侨发制品有限公司</w:t>
            </w:r>
            <w:r>
              <w:rPr>
                <w:rFonts w:hint="eastAsia" w:ascii="宋体" w:hAnsi="宋体" w:eastAsia="宋体" w:cs="宋体"/>
                <w:color w:val="auto"/>
                <w:position w:val="0"/>
                <w:sz w:val="18"/>
                <w:szCs w:val="18"/>
                <w:lang w:val="en-US" w:eastAsia="zh-CN"/>
              </w:rPr>
              <w:t xml:space="preserve">年产40吨发制品项目 </w:t>
            </w:r>
          </w:p>
        </w:tc>
        <w:tc>
          <w:tcPr>
            <w:tcW w:w="216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项目代码</w:t>
            </w:r>
          </w:p>
        </w:tc>
        <w:tc>
          <w:tcPr>
            <w:tcW w:w="1980" w:type="dxa"/>
            <w:noWrap w:val="0"/>
            <w:tcMar>
              <w:left w:w="57" w:type="dxa"/>
              <w:right w:w="57" w:type="dxa"/>
            </w:tcMar>
            <w:vAlign w:val="top"/>
          </w:tcPr>
          <w:p>
            <w:pPr>
              <w:spacing w:after="0"/>
              <w:rPr>
                <w:rFonts w:hint="default" w:ascii="宋体" w:hAnsi="宋体" w:eastAsia="宋体"/>
                <w:color w:val="000000"/>
                <w:kern w:val="2"/>
                <w:sz w:val="15"/>
                <w:szCs w:val="15"/>
                <w:lang w:val="en-US" w:eastAsia="zh-CN"/>
              </w:rPr>
            </w:pPr>
          </w:p>
        </w:tc>
        <w:tc>
          <w:tcPr>
            <w:tcW w:w="1620" w:type="dxa"/>
            <w:gridSpan w:val="2"/>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建设地点</w:t>
            </w:r>
          </w:p>
        </w:tc>
        <w:tc>
          <w:tcPr>
            <w:tcW w:w="2677" w:type="dxa"/>
            <w:gridSpan w:val="4"/>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s="宋体"/>
                <w:color w:val="auto"/>
                <w:position w:val="0"/>
                <w:sz w:val="18"/>
                <w:szCs w:val="18"/>
                <w:lang w:val="en-US" w:eastAsia="zh-CN"/>
              </w:rPr>
              <w:t>山东省菏泽市鄄城县永定路与北环路交叉口南200米路东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行业类别（分类管理名录）</w:t>
            </w:r>
          </w:p>
        </w:tc>
        <w:tc>
          <w:tcPr>
            <w:tcW w:w="5045" w:type="dxa"/>
            <w:gridSpan w:val="6"/>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s="宋体"/>
                <w:color w:val="auto"/>
                <w:position w:val="0"/>
                <w:sz w:val="18"/>
                <w:szCs w:val="18"/>
                <w:lang w:val="en-US" w:eastAsia="zh-CN"/>
              </w:rPr>
              <w:t>其他工艺美术品制造C2439</w:t>
            </w:r>
          </w:p>
        </w:tc>
        <w:tc>
          <w:tcPr>
            <w:tcW w:w="216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建设性质</w:t>
            </w:r>
          </w:p>
        </w:tc>
        <w:tc>
          <w:tcPr>
            <w:tcW w:w="3600" w:type="dxa"/>
            <w:gridSpan w:val="3"/>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■新建  □ 改扩建  □技术改造</w:t>
            </w:r>
          </w:p>
        </w:tc>
        <w:tc>
          <w:tcPr>
            <w:tcW w:w="1800" w:type="dxa"/>
            <w:gridSpan w:val="2"/>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项目厂区中心经度/纬度</w:t>
            </w:r>
          </w:p>
        </w:tc>
        <w:tc>
          <w:tcPr>
            <w:tcW w:w="877" w:type="dxa"/>
            <w:gridSpan w:val="2"/>
            <w:noWrap w:val="0"/>
            <w:tcMar>
              <w:left w:w="57" w:type="dxa"/>
              <w:right w:w="57" w:type="dxa"/>
            </w:tcMar>
            <w:vAlign w:val="top"/>
          </w:tcPr>
          <w:p>
            <w:pPr>
              <w:spacing w:after="0"/>
              <w:rPr>
                <w:rFonts w:hint="default" w:ascii="宋体" w:hAnsi="宋体" w:eastAsia="宋体"/>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设计生产能力</w:t>
            </w:r>
          </w:p>
        </w:tc>
        <w:tc>
          <w:tcPr>
            <w:tcW w:w="5045" w:type="dxa"/>
            <w:gridSpan w:val="6"/>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s="宋体"/>
                <w:color w:val="auto"/>
                <w:position w:val="0"/>
                <w:sz w:val="18"/>
                <w:szCs w:val="18"/>
                <w:lang w:val="en-US" w:eastAsia="zh-CN"/>
              </w:rPr>
              <w:t>年产40吨发制品</w:t>
            </w:r>
          </w:p>
        </w:tc>
        <w:tc>
          <w:tcPr>
            <w:tcW w:w="2160" w:type="dxa"/>
            <w:gridSpan w:val="2"/>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实际生产能力</w:t>
            </w:r>
          </w:p>
        </w:tc>
        <w:tc>
          <w:tcPr>
            <w:tcW w:w="1980" w:type="dxa"/>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val="en-US" w:eastAsia="zh-CN"/>
              </w:rPr>
              <w:t>年产40吨发制品</w:t>
            </w:r>
          </w:p>
        </w:tc>
        <w:tc>
          <w:tcPr>
            <w:tcW w:w="1620" w:type="dxa"/>
            <w:gridSpan w:val="2"/>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环评单位</w:t>
            </w:r>
          </w:p>
        </w:tc>
        <w:tc>
          <w:tcPr>
            <w:tcW w:w="2677" w:type="dxa"/>
            <w:gridSpan w:val="4"/>
            <w:noWrap w:val="0"/>
            <w:tcMar>
              <w:left w:w="57" w:type="dxa"/>
              <w:right w:w="57" w:type="dxa"/>
            </w:tcMar>
            <w:vAlign w:val="top"/>
          </w:tcPr>
          <w:p>
            <w:pPr>
              <w:spacing w:after="0"/>
              <w:rPr>
                <w:rFonts w:hint="default" w:ascii="宋体" w:hAnsi="宋体" w:eastAsia="宋体"/>
                <w:color w:val="000000"/>
                <w:kern w:val="2"/>
                <w:sz w:val="15"/>
                <w:szCs w:val="15"/>
                <w:lang w:val="en-US" w:eastAsia="zh-CN"/>
              </w:rPr>
            </w:pPr>
            <w:r>
              <w:rPr>
                <w:rFonts w:hint="eastAsia" w:ascii="宋体" w:hAnsi="宋体" w:eastAsia="宋体"/>
                <w:color w:val="000000"/>
                <w:kern w:val="2"/>
                <w:sz w:val="15"/>
                <w:szCs w:val="15"/>
                <w:lang w:val="en-US" w:eastAsia="zh-CN"/>
              </w:rPr>
              <w:t>山东新达工程设计有限公司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环评文件审批机关</w:t>
            </w:r>
          </w:p>
        </w:tc>
        <w:tc>
          <w:tcPr>
            <w:tcW w:w="5045" w:type="dxa"/>
            <w:gridSpan w:val="6"/>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default" w:ascii="Times New Roman" w:hAnsi="Times New Roman" w:cs="Times New Roman"/>
                <w:color w:val="auto"/>
                <w:spacing w:val="-6"/>
                <w:sz w:val="24"/>
                <w:szCs w:val="24"/>
                <w:lang w:val="en-US" w:eastAsia="zh-CN"/>
              </w:rPr>
              <w:t>鄄城县</w:t>
            </w:r>
            <w:r>
              <w:rPr>
                <w:rFonts w:hint="eastAsia" w:ascii="Times New Roman" w:hAnsi="Times New Roman" w:cs="Times New Roman"/>
                <w:color w:val="auto"/>
                <w:spacing w:val="-6"/>
                <w:sz w:val="24"/>
                <w:szCs w:val="24"/>
                <w:lang w:val="en-US" w:eastAsia="zh-CN"/>
              </w:rPr>
              <w:t>审批服务局</w:t>
            </w:r>
          </w:p>
        </w:tc>
        <w:tc>
          <w:tcPr>
            <w:tcW w:w="216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审批文号</w:t>
            </w:r>
          </w:p>
        </w:tc>
        <w:tc>
          <w:tcPr>
            <w:tcW w:w="1980" w:type="dxa"/>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auto"/>
                <w:position w:val="0"/>
                <w:sz w:val="18"/>
                <w:szCs w:val="18"/>
                <w:lang w:val="en-US" w:eastAsia="zh-CN"/>
              </w:rPr>
              <w:t>鄄行审投</w:t>
            </w:r>
            <w:r>
              <w:rPr>
                <w:rFonts w:hint="default" w:ascii="宋体" w:hAnsi="宋体" w:eastAsia="宋体"/>
                <w:color w:val="auto"/>
                <w:position w:val="0"/>
                <w:sz w:val="18"/>
                <w:szCs w:val="18"/>
              </w:rPr>
              <w:t>[201</w:t>
            </w:r>
            <w:r>
              <w:rPr>
                <w:rFonts w:hint="eastAsia" w:ascii="宋体" w:hAnsi="宋体" w:eastAsia="宋体"/>
                <w:color w:val="auto"/>
                <w:position w:val="0"/>
                <w:sz w:val="18"/>
                <w:szCs w:val="18"/>
                <w:lang w:val="en-US" w:eastAsia="zh-CN"/>
              </w:rPr>
              <w:t>9</w:t>
            </w:r>
            <w:r>
              <w:rPr>
                <w:rFonts w:hint="default" w:ascii="宋体" w:hAnsi="宋体" w:eastAsia="宋体"/>
                <w:color w:val="auto"/>
                <w:position w:val="0"/>
                <w:sz w:val="18"/>
                <w:szCs w:val="18"/>
              </w:rPr>
              <w:t>]</w:t>
            </w:r>
            <w:r>
              <w:rPr>
                <w:rFonts w:hint="eastAsia" w:ascii="宋体" w:hAnsi="宋体" w:eastAsia="宋体"/>
                <w:color w:val="auto"/>
                <w:position w:val="0"/>
                <w:sz w:val="18"/>
                <w:szCs w:val="18"/>
                <w:lang w:val="en-US" w:eastAsia="zh-CN"/>
              </w:rPr>
              <w:t>2</w:t>
            </w:r>
            <w:r>
              <w:rPr>
                <w:rFonts w:hint="default" w:ascii="宋体" w:hAnsi="宋体" w:eastAsia="宋体"/>
                <w:color w:val="auto"/>
                <w:position w:val="0"/>
                <w:sz w:val="18"/>
                <w:szCs w:val="18"/>
              </w:rPr>
              <w:t>号</w:t>
            </w:r>
          </w:p>
        </w:tc>
        <w:tc>
          <w:tcPr>
            <w:tcW w:w="162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环评文件类型</w:t>
            </w:r>
          </w:p>
        </w:tc>
        <w:tc>
          <w:tcPr>
            <w:tcW w:w="2677" w:type="dxa"/>
            <w:gridSpan w:val="4"/>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环评报告表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开工日期</w:t>
            </w:r>
          </w:p>
        </w:tc>
        <w:tc>
          <w:tcPr>
            <w:tcW w:w="5045" w:type="dxa"/>
            <w:gridSpan w:val="6"/>
            <w:noWrap w:val="0"/>
            <w:tcMar>
              <w:left w:w="57" w:type="dxa"/>
              <w:right w:w="57" w:type="dxa"/>
            </w:tcMar>
            <w:vAlign w:val="center"/>
          </w:tcPr>
          <w:p>
            <w:pPr>
              <w:spacing w:after="0"/>
              <w:rPr>
                <w:rFonts w:hint="default" w:ascii="宋体" w:hAnsi="宋体" w:eastAsia="宋体"/>
                <w:color w:val="000000"/>
                <w:kern w:val="2"/>
                <w:sz w:val="15"/>
                <w:szCs w:val="15"/>
                <w:lang w:val="en-US" w:eastAsia="zh-CN"/>
              </w:rPr>
            </w:pPr>
            <w:r>
              <w:rPr>
                <w:rFonts w:hint="eastAsia" w:ascii="宋体" w:hAnsi="宋体" w:eastAsia="宋体"/>
                <w:color w:val="000000"/>
                <w:kern w:val="2"/>
                <w:sz w:val="15"/>
                <w:szCs w:val="15"/>
                <w:lang w:eastAsia="zh-CN"/>
              </w:rPr>
              <w:t>20</w:t>
            </w:r>
            <w:r>
              <w:rPr>
                <w:rFonts w:hint="eastAsia" w:ascii="宋体" w:hAnsi="宋体" w:eastAsia="宋体"/>
                <w:color w:val="000000"/>
                <w:kern w:val="2"/>
                <w:sz w:val="15"/>
                <w:szCs w:val="15"/>
                <w:lang w:val="en-US" w:eastAsia="zh-CN"/>
              </w:rPr>
              <w:t>18.12</w:t>
            </w:r>
          </w:p>
        </w:tc>
        <w:tc>
          <w:tcPr>
            <w:tcW w:w="216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竣工日期</w:t>
            </w:r>
          </w:p>
        </w:tc>
        <w:tc>
          <w:tcPr>
            <w:tcW w:w="1980" w:type="dxa"/>
            <w:noWrap w:val="0"/>
            <w:tcMar>
              <w:left w:w="57" w:type="dxa"/>
              <w:right w:w="57" w:type="dxa"/>
            </w:tcMar>
            <w:vAlign w:val="center"/>
          </w:tcPr>
          <w:p>
            <w:pPr>
              <w:spacing w:after="0"/>
              <w:rPr>
                <w:rFonts w:hint="default" w:ascii="宋体" w:hAnsi="宋体" w:eastAsia="宋体"/>
                <w:color w:val="000000"/>
                <w:kern w:val="2"/>
                <w:sz w:val="15"/>
                <w:szCs w:val="15"/>
                <w:lang w:val="en-US" w:eastAsia="zh-CN"/>
              </w:rPr>
            </w:pPr>
            <w:r>
              <w:rPr>
                <w:rFonts w:hint="eastAsia" w:ascii="宋体" w:hAnsi="宋体" w:eastAsia="宋体"/>
                <w:color w:val="000000"/>
                <w:kern w:val="2"/>
                <w:sz w:val="15"/>
                <w:szCs w:val="15"/>
                <w:lang w:eastAsia="zh-CN"/>
              </w:rPr>
              <w:t>201</w:t>
            </w:r>
            <w:r>
              <w:rPr>
                <w:rFonts w:hint="eastAsia" w:ascii="宋体" w:hAnsi="宋体" w:eastAsia="宋体"/>
                <w:color w:val="000000"/>
                <w:kern w:val="2"/>
                <w:sz w:val="15"/>
                <w:szCs w:val="15"/>
                <w:lang w:val="en-US" w:eastAsia="zh-CN"/>
              </w:rPr>
              <w:t>9.5</w:t>
            </w:r>
          </w:p>
        </w:tc>
        <w:tc>
          <w:tcPr>
            <w:tcW w:w="162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排污许可证申领时间</w:t>
            </w:r>
          </w:p>
        </w:tc>
        <w:tc>
          <w:tcPr>
            <w:tcW w:w="2677" w:type="dxa"/>
            <w:gridSpan w:val="4"/>
            <w:noWrap w:val="0"/>
            <w:tcMar>
              <w:left w:w="57" w:type="dxa"/>
              <w:right w:w="57" w:type="dxa"/>
            </w:tcMar>
            <w:vAlign w:val="top"/>
          </w:tcPr>
          <w:p>
            <w:pPr>
              <w:spacing w:after="0"/>
              <w:rPr>
                <w:rFonts w:hint="eastAsia" w:ascii="宋体" w:hAnsi="宋体" w:eastAsia="宋体"/>
                <w:color w:val="000000"/>
                <w:kern w:val="2"/>
                <w:sz w:val="15"/>
                <w:szCs w:val="15"/>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环保设施设计单位</w:t>
            </w:r>
          </w:p>
        </w:tc>
        <w:tc>
          <w:tcPr>
            <w:tcW w:w="5045" w:type="dxa"/>
            <w:gridSpan w:val="6"/>
            <w:noWrap w:val="0"/>
            <w:tcMar>
              <w:left w:w="57" w:type="dxa"/>
              <w:right w:w="57" w:type="dxa"/>
            </w:tcMar>
            <w:vAlign w:val="top"/>
          </w:tcPr>
          <w:p>
            <w:pPr>
              <w:spacing w:after="0"/>
              <w:rPr>
                <w:rFonts w:hint="eastAsia" w:ascii="宋体" w:hAnsi="宋体" w:eastAsia="宋体"/>
                <w:color w:val="000000"/>
                <w:kern w:val="2"/>
                <w:sz w:val="15"/>
                <w:szCs w:val="15"/>
                <w:lang w:eastAsia="zh-CN"/>
              </w:rPr>
            </w:pPr>
          </w:p>
        </w:tc>
        <w:tc>
          <w:tcPr>
            <w:tcW w:w="216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环保设施施工单位</w:t>
            </w:r>
          </w:p>
        </w:tc>
        <w:tc>
          <w:tcPr>
            <w:tcW w:w="1980" w:type="dxa"/>
            <w:noWrap w:val="0"/>
            <w:tcMar>
              <w:left w:w="57" w:type="dxa"/>
              <w:right w:w="57" w:type="dxa"/>
            </w:tcMar>
            <w:vAlign w:val="top"/>
          </w:tcPr>
          <w:p>
            <w:pPr>
              <w:spacing w:after="0"/>
              <w:rPr>
                <w:rFonts w:hint="eastAsia" w:ascii="宋体" w:hAnsi="宋体" w:eastAsia="宋体"/>
                <w:color w:val="000000"/>
                <w:kern w:val="2"/>
                <w:sz w:val="15"/>
                <w:szCs w:val="15"/>
                <w:lang w:eastAsia="zh-CN"/>
              </w:rPr>
            </w:pPr>
          </w:p>
        </w:tc>
        <w:tc>
          <w:tcPr>
            <w:tcW w:w="162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本工程排污许可证编号</w:t>
            </w:r>
          </w:p>
        </w:tc>
        <w:tc>
          <w:tcPr>
            <w:tcW w:w="2677" w:type="dxa"/>
            <w:gridSpan w:val="4"/>
            <w:noWrap w:val="0"/>
            <w:tcMar>
              <w:left w:w="57" w:type="dxa"/>
              <w:right w:w="57" w:type="dxa"/>
            </w:tcMar>
            <w:vAlign w:val="top"/>
          </w:tcPr>
          <w:p>
            <w:pPr>
              <w:spacing w:after="0"/>
              <w:rPr>
                <w:rFonts w:hint="eastAsia" w:ascii="宋体" w:hAnsi="宋体" w:eastAsia="宋体"/>
                <w:color w:val="000000"/>
                <w:kern w:val="2"/>
                <w:sz w:val="15"/>
                <w:szCs w:val="15"/>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验收单位</w:t>
            </w:r>
          </w:p>
        </w:tc>
        <w:tc>
          <w:tcPr>
            <w:tcW w:w="5045" w:type="dxa"/>
            <w:gridSpan w:val="6"/>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cs="宋体"/>
                <w:sz w:val="21"/>
                <w:szCs w:val="21"/>
                <w:lang w:val="en-US" w:eastAsia="zh-CN"/>
              </w:rPr>
              <w:t>菏泽鼎侨发制品有限公司</w:t>
            </w:r>
          </w:p>
        </w:tc>
        <w:tc>
          <w:tcPr>
            <w:tcW w:w="2160" w:type="dxa"/>
            <w:gridSpan w:val="2"/>
            <w:noWrap w:val="0"/>
            <w:tcMar>
              <w:left w:w="57" w:type="dxa"/>
              <w:right w:w="57" w:type="dxa"/>
            </w:tcMar>
            <w:vAlign w:val="center"/>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环保设施监测单位</w:t>
            </w:r>
          </w:p>
        </w:tc>
        <w:tc>
          <w:tcPr>
            <w:tcW w:w="1980" w:type="dxa"/>
            <w:noWrap w:val="0"/>
            <w:tcMar>
              <w:left w:w="57" w:type="dxa"/>
              <w:right w:w="57" w:type="dxa"/>
            </w:tcMar>
            <w:vAlign w:val="top"/>
          </w:tcPr>
          <w:p>
            <w:pPr>
              <w:spacing w:after="0"/>
              <w:rPr>
                <w:rFonts w:hint="default" w:ascii="宋体" w:hAnsi="宋体" w:eastAsia="宋体"/>
                <w:color w:val="000000"/>
                <w:kern w:val="2"/>
                <w:sz w:val="15"/>
                <w:szCs w:val="15"/>
                <w:lang w:val="en-US" w:eastAsia="zh-CN"/>
              </w:rPr>
            </w:pPr>
            <w:r>
              <w:rPr>
                <w:rFonts w:hint="eastAsia" w:ascii="宋体" w:hAnsi="宋体" w:eastAsia="宋体"/>
                <w:color w:val="000000"/>
                <w:kern w:val="2"/>
                <w:sz w:val="15"/>
                <w:szCs w:val="15"/>
                <w:lang w:val="en-US" w:eastAsia="zh-CN"/>
              </w:rPr>
              <w:t>齐鲁质量鉴定有限公司</w:t>
            </w:r>
          </w:p>
        </w:tc>
        <w:tc>
          <w:tcPr>
            <w:tcW w:w="1620" w:type="dxa"/>
            <w:gridSpan w:val="2"/>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eastAsia="zh-CN"/>
              </w:rPr>
              <w:t>验收监测时工况</w:t>
            </w:r>
          </w:p>
        </w:tc>
        <w:tc>
          <w:tcPr>
            <w:tcW w:w="2677" w:type="dxa"/>
            <w:gridSpan w:val="4"/>
            <w:noWrap w:val="0"/>
            <w:tcMar>
              <w:left w:w="57" w:type="dxa"/>
              <w:right w:w="57" w:type="dxa"/>
            </w:tcMar>
            <w:vAlign w:val="top"/>
          </w:tcPr>
          <w:p>
            <w:pPr>
              <w:spacing w:after="0"/>
              <w:rPr>
                <w:rFonts w:hint="eastAsia" w:ascii="宋体" w:hAnsi="宋体" w:eastAsia="宋体"/>
                <w:color w:val="000000"/>
                <w:kern w:val="2"/>
                <w:sz w:val="15"/>
                <w:szCs w:val="15"/>
                <w:lang w:eastAsia="zh-CN"/>
              </w:rPr>
            </w:pPr>
            <w:r>
              <w:rPr>
                <w:rFonts w:hint="eastAsia" w:ascii="宋体" w:hAnsi="宋体" w:eastAsia="宋体"/>
                <w:color w:val="000000"/>
                <w:kern w:val="2"/>
                <w:sz w:val="15"/>
                <w:szCs w:val="15"/>
                <w:lang w:val="en-US" w:eastAsia="zh-CN"/>
              </w:rPr>
              <w:t>85-90</w:t>
            </w:r>
            <w:r>
              <w:rPr>
                <w:rFonts w:hint="eastAsia" w:ascii="宋体" w:hAnsi="宋体" w:eastAsia="宋体"/>
                <w:color w:val="000000"/>
                <w:kern w:val="2"/>
                <w:sz w:val="15"/>
                <w:szCs w:val="15"/>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color w:val="000000"/>
                <w:kern w:val="2"/>
                <w:sz w:val="15"/>
                <w:szCs w:val="15"/>
              </w:rPr>
            </w:pPr>
            <w:r>
              <w:rPr>
                <w:b/>
                <w:color w:val="000000"/>
                <w:kern w:val="2"/>
                <w:sz w:val="15"/>
                <w:szCs w:val="15"/>
              </w:rPr>
              <w:t>投资总概算（万元）</w:t>
            </w:r>
          </w:p>
        </w:tc>
        <w:tc>
          <w:tcPr>
            <w:tcW w:w="5045" w:type="dxa"/>
            <w:gridSpan w:val="6"/>
            <w:noWrap w:val="0"/>
            <w:tcMar>
              <w:left w:w="57" w:type="dxa"/>
              <w:right w:w="57" w:type="dxa"/>
            </w:tcMar>
            <w:vAlign w:val="center"/>
          </w:tcPr>
          <w:p>
            <w:pPr>
              <w:spacing w:after="0"/>
              <w:jc w:val="center"/>
              <w:rPr>
                <w:rFonts w:hint="default" w:eastAsia="微软雅黑"/>
                <w:b/>
                <w:color w:val="000000"/>
                <w:kern w:val="2"/>
                <w:sz w:val="15"/>
                <w:szCs w:val="15"/>
                <w:lang w:val="en-US" w:eastAsia="zh-CN"/>
              </w:rPr>
            </w:pPr>
            <w:r>
              <w:rPr>
                <w:rFonts w:hint="eastAsia"/>
                <w:b/>
                <w:color w:val="000000"/>
                <w:kern w:val="2"/>
                <w:sz w:val="15"/>
                <w:szCs w:val="15"/>
                <w:lang w:val="en-US" w:eastAsia="zh-CN"/>
              </w:rPr>
              <w:t>500</w:t>
            </w:r>
          </w:p>
        </w:tc>
        <w:tc>
          <w:tcPr>
            <w:tcW w:w="2160" w:type="dxa"/>
            <w:gridSpan w:val="2"/>
            <w:noWrap w:val="0"/>
            <w:tcMar>
              <w:left w:w="57" w:type="dxa"/>
              <w:right w:w="57" w:type="dxa"/>
            </w:tcMar>
            <w:vAlign w:val="center"/>
          </w:tcPr>
          <w:p>
            <w:pPr>
              <w:tabs>
                <w:tab w:val="left" w:pos="690"/>
              </w:tabs>
              <w:spacing w:after="0"/>
              <w:rPr>
                <w:color w:val="000000"/>
                <w:kern w:val="2"/>
                <w:sz w:val="15"/>
                <w:szCs w:val="15"/>
              </w:rPr>
            </w:pPr>
            <w:r>
              <w:rPr>
                <w:b/>
                <w:color w:val="000000"/>
                <w:kern w:val="2"/>
                <w:sz w:val="15"/>
                <w:szCs w:val="15"/>
              </w:rPr>
              <w:t>环保投资总概算（万元）</w:t>
            </w:r>
          </w:p>
        </w:tc>
        <w:tc>
          <w:tcPr>
            <w:tcW w:w="1980" w:type="dxa"/>
            <w:noWrap w:val="0"/>
            <w:tcMar>
              <w:left w:w="57" w:type="dxa"/>
              <w:right w:w="57" w:type="dxa"/>
            </w:tcMar>
            <w:vAlign w:val="center"/>
          </w:tcPr>
          <w:p>
            <w:pPr>
              <w:spacing w:after="0"/>
              <w:jc w:val="center"/>
              <w:rPr>
                <w:rFonts w:hint="default" w:eastAsia="微软雅黑"/>
                <w:b/>
                <w:color w:val="000000"/>
                <w:kern w:val="2"/>
                <w:sz w:val="15"/>
                <w:szCs w:val="15"/>
                <w:lang w:val="en-US" w:eastAsia="zh-CN"/>
              </w:rPr>
            </w:pPr>
            <w:r>
              <w:rPr>
                <w:rFonts w:hint="eastAsia"/>
                <w:b/>
                <w:color w:val="000000"/>
                <w:kern w:val="2"/>
                <w:sz w:val="15"/>
                <w:szCs w:val="15"/>
                <w:lang w:val="en-US" w:eastAsia="zh-CN"/>
              </w:rPr>
              <w:t>20</w:t>
            </w:r>
          </w:p>
        </w:tc>
        <w:tc>
          <w:tcPr>
            <w:tcW w:w="1620" w:type="dxa"/>
            <w:gridSpan w:val="2"/>
            <w:noWrap w:val="0"/>
            <w:tcMar>
              <w:left w:w="57" w:type="dxa"/>
              <w:right w:w="57" w:type="dxa"/>
            </w:tcMar>
            <w:vAlign w:val="center"/>
          </w:tcPr>
          <w:p>
            <w:pPr>
              <w:tabs>
                <w:tab w:val="left" w:pos="690"/>
              </w:tabs>
              <w:spacing w:after="0"/>
              <w:rPr>
                <w:color w:val="000000"/>
                <w:kern w:val="2"/>
                <w:sz w:val="15"/>
                <w:szCs w:val="15"/>
              </w:rPr>
            </w:pPr>
            <w:r>
              <w:rPr>
                <w:b/>
                <w:color w:val="000000"/>
                <w:kern w:val="2"/>
                <w:sz w:val="15"/>
                <w:szCs w:val="15"/>
              </w:rPr>
              <w:t>所占比例（%）</w:t>
            </w:r>
          </w:p>
        </w:tc>
        <w:tc>
          <w:tcPr>
            <w:tcW w:w="2677" w:type="dxa"/>
            <w:gridSpan w:val="4"/>
            <w:noWrap w:val="0"/>
            <w:tcMar>
              <w:left w:w="57" w:type="dxa"/>
              <w:right w:w="57" w:type="dxa"/>
            </w:tcMar>
            <w:vAlign w:val="center"/>
          </w:tcPr>
          <w:p>
            <w:pPr>
              <w:tabs>
                <w:tab w:val="left" w:pos="690"/>
              </w:tabs>
              <w:spacing w:after="0"/>
              <w:rPr>
                <w:rFonts w:hint="default" w:eastAsia="微软雅黑"/>
                <w:color w:val="000000"/>
                <w:kern w:val="2"/>
                <w:sz w:val="15"/>
                <w:szCs w:val="15"/>
                <w:lang w:val="en-US" w:eastAsia="zh-CN"/>
              </w:rPr>
            </w:pPr>
            <w:r>
              <w:rPr>
                <w:rFonts w:hint="eastAsia" w:eastAsia="微软雅黑"/>
                <w:color w:val="000000"/>
                <w:kern w:val="2"/>
                <w:sz w:val="15"/>
                <w:szCs w:val="15"/>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top"/>
          </w:tcPr>
          <w:p>
            <w:pPr>
              <w:spacing w:after="0"/>
              <w:rPr>
                <w:color w:val="000000"/>
                <w:kern w:val="2"/>
                <w:sz w:val="15"/>
                <w:szCs w:val="15"/>
              </w:rPr>
            </w:pPr>
            <w:r>
              <w:rPr>
                <w:b/>
                <w:color w:val="000000"/>
                <w:kern w:val="2"/>
                <w:sz w:val="15"/>
                <w:szCs w:val="15"/>
              </w:rPr>
              <w:t>实际总投资</w:t>
            </w:r>
          </w:p>
        </w:tc>
        <w:tc>
          <w:tcPr>
            <w:tcW w:w="5045" w:type="dxa"/>
            <w:gridSpan w:val="6"/>
            <w:noWrap w:val="0"/>
            <w:tcMar>
              <w:left w:w="57" w:type="dxa"/>
              <w:right w:w="57" w:type="dxa"/>
            </w:tcMar>
            <w:vAlign w:val="top"/>
          </w:tcPr>
          <w:p>
            <w:pPr>
              <w:spacing w:after="0"/>
              <w:ind w:firstLine="2475" w:firstLineChars="1650"/>
              <w:rPr>
                <w:rFonts w:hint="default" w:eastAsia="微软雅黑"/>
                <w:color w:val="000000"/>
                <w:kern w:val="2"/>
                <w:sz w:val="15"/>
                <w:szCs w:val="15"/>
                <w:lang w:val="en-US" w:eastAsia="zh-CN"/>
              </w:rPr>
            </w:pPr>
            <w:r>
              <w:rPr>
                <w:rFonts w:hint="eastAsia"/>
                <w:color w:val="000000"/>
                <w:kern w:val="2"/>
                <w:sz w:val="15"/>
                <w:szCs w:val="15"/>
                <w:lang w:val="en-US" w:eastAsia="zh-CN"/>
              </w:rPr>
              <w:t>500</w:t>
            </w:r>
          </w:p>
        </w:tc>
        <w:tc>
          <w:tcPr>
            <w:tcW w:w="2160" w:type="dxa"/>
            <w:gridSpan w:val="2"/>
            <w:noWrap w:val="0"/>
            <w:tcMar>
              <w:left w:w="57" w:type="dxa"/>
              <w:right w:w="57" w:type="dxa"/>
            </w:tcMar>
            <w:vAlign w:val="center"/>
          </w:tcPr>
          <w:p>
            <w:pPr>
              <w:spacing w:after="0"/>
              <w:ind w:right="300"/>
              <w:rPr>
                <w:b/>
                <w:color w:val="000000"/>
                <w:kern w:val="2"/>
                <w:sz w:val="15"/>
                <w:szCs w:val="15"/>
              </w:rPr>
            </w:pPr>
            <w:r>
              <w:rPr>
                <w:b/>
                <w:color w:val="000000"/>
                <w:kern w:val="2"/>
                <w:sz w:val="15"/>
                <w:szCs w:val="15"/>
              </w:rPr>
              <w:t>实际环保投资（万元）</w:t>
            </w:r>
          </w:p>
        </w:tc>
        <w:tc>
          <w:tcPr>
            <w:tcW w:w="1980" w:type="dxa"/>
            <w:noWrap w:val="0"/>
            <w:tcMar>
              <w:left w:w="57" w:type="dxa"/>
              <w:right w:w="57" w:type="dxa"/>
            </w:tcMar>
            <w:vAlign w:val="top"/>
          </w:tcPr>
          <w:p>
            <w:pPr>
              <w:spacing w:after="0"/>
              <w:ind w:firstLine="750" w:firstLineChars="500"/>
              <w:rPr>
                <w:rFonts w:hint="default" w:eastAsia="宋体"/>
                <w:color w:val="000000"/>
                <w:kern w:val="2"/>
                <w:sz w:val="15"/>
                <w:szCs w:val="15"/>
                <w:lang w:val="en-US" w:eastAsia="zh-CN"/>
              </w:rPr>
            </w:pPr>
            <w:r>
              <w:rPr>
                <w:rFonts w:hint="eastAsia" w:eastAsia="宋体"/>
                <w:color w:val="000000"/>
                <w:kern w:val="2"/>
                <w:sz w:val="15"/>
                <w:szCs w:val="15"/>
                <w:lang w:val="en-US" w:eastAsia="zh-CN"/>
              </w:rPr>
              <w:t>19.5</w:t>
            </w:r>
          </w:p>
        </w:tc>
        <w:tc>
          <w:tcPr>
            <w:tcW w:w="1620" w:type="dxa"/>
            <w:gridSpan w:val="2"/>
            <w:noWrap w:val="0"/>
            <w:tcMar>
              <w:left w:w="57" w:type="dxa"/>
              <w:right w:w="57" w:type="dxa"/>
            </w:tcMar>
            <w:vAlign w:val="center"/>
          </w:tcPr>
          <w:p>
            <w:pPr>
              <w:spacing w:after="0"/>
              <w:rPr>
                <w:b/>
                <w:color w:val="000000"/>
                <w:kern w:val="2"/>
                <w:sz w:val="15"/>
                <w:szCs w:val="15"/>
              </w:rPr>
            </w:pPr>
            <w:r>
              <w:rPr>
                <w:b/>
                <w:color w:val="000000"/>
                <w:kern w:val="2"/>
                <w:sz w:val="15"/>
                <w:szCs w:val="15"/>
              </w:rPr>
              <w:t>所占比例（%）</w:t>
            </w:r>
          </w:p>
        </w:tc>
        <w:tc>
          <w:tcPr>
            <w:tcW w:w="2677" w:type="dxa"/>
            <w:gridSpan w:val="4"/>
            <w:noWrap w:val="0"/>
            <w:tcMar>
              <w:left w:w="57" w:type="dxa"/>
              <w:right w:w="57" w:type="dxa"/>
            </w:tcMar>
            <w:vAlign w:val="top"/>
          </w:tcPr>
          <w:p>
            <w:pPr>
              <w:spacing w:after="0"/>
              <w:rPr>
                <w:rFonts w:hint="default" w:eastAsia="微软雅黑"/>
                <w:color w:val="000000"/>
                <w:kern w:val="2"/>
                <w:sz w:val="15"/>
                <w:szCs w:val="15"/>
                <w:lang w:val="en-US" w:eastAsia="zh-CN"/>
              </w:rPr>
            </w:pPr>
            <w:r>
              <w:rPr>
                <w:rFonts w:hint="eastAsia" w:eastAsia="微软雅黑"/>
                <w:color w:val="000000"/>
                <w:kern w:val="2"/>
                <w:sz w:val="15"/>
                <w:szCs w:val="15"/>
                <w:lang w:val="en-US" w:eastAsia="zh-CN"/>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color w:val="000000"/>
                <w:kern w:val="2"/>
                <w:sz w:val="15"/>
                <w:szCs w:val="15"/>
              </w:rPr>
            </w:pPr>
            <w:r>
              <w:rPr>
                <w:b/>
                <w:color w:val="000000"/>
                <w:kern w:val="2"/>
                <w:sz w:val="15"/>
                <w:szCs w:val="15"/>
              </w:rPr>
              <w:t>废水治理（万元）</w:t>
            </w:r>
          </w:p>
        </w:tc>
        <w:tc>
          <w:tcPr>
            <w:tcW w:w="828" w:type="dxa"/>
            <w:noWrap w:val="0"/>
            <w:tcMar>
              <w:left w:w="57" w:type="dxa"/>
              <w:right w:w="57" w:type="dxa"/>
            </w:tcMar>
            <w:vAlign w:val="top"/>
          </w:tcPr>
          <w:p>
            <w:pPr>
              <w:spacing w:after="0"/>
              <w:rPr>
                <w:rFonts w:hint="default" w:eastAsia="微软雅黑"/>
                <w:color w:val="000000"/>
                <w:kern w:val="2"/>
                <w:sz w:val="15"/>
                <w:szCs w:val="15"/>
                <w:lang w:val="en-US" w:eastAsia="zh-CN"/>
              </w:rPr>
            </w:pPr>
            <w:r>
              <w:rPr>
                <w:rFonts w:hint="eastAsia" w:eastAsia="微软雅黑"/>
                <w:color w:val="000000"/>
                <w:kern w:val="2"/>
                <w:sz w:val="15"/>
                <w:szCs w:val="15"/>
                <w:lang w:val="en-US" w:eastAsia="zh-CN"/>
              </w:rPr>
              <w:t>6.5</w:t>
            </w:r>
          </w:p>
        </w:tc>
        <w:tc>
          <w:tcPr>
            <w:tcW w:w="1337" w:type="dxa"/>
            <w:noWrap w:val="0"/>
            <w:tcMar>
              <w:left w:w="57" w:type="dxa"/>
              <w:right w:w="57" w:type="dxa"/>
            </w:tcMar>
            <w:vAlign w:val="center"/>
          </w:tcPr>
          <w:p>
            <w:pPr>
              <w:spacing w:after="0"/>
              <w:jc w:val="center"/>
              <w:rPr>
                <w:rFonts w:hint="eastAsia" w:eastAsia="宋体"/>
                <w:b/>
                <w:color w:val="000000"/>
                <w:kern w:val="2"/>
                <w:sz w:val="15"/>
                <w:szCs w:val="15"/>
                <w:lang w:val="en-US" w:eastAsia="zh-CN"/>
              </w:rPr>
            </w:pPr>
            <w:r>
              <w:rPr>
                <w:rFonts w:hint="eastAsia" w:eastAsia="宋体"/>
                <w:b/>
                <w:color w:val="000000"/>
                <w:kern w:val="2"/>
                <w:sz w:val="15"/>
                <w:szCs w:val="15"/>
                <w:lang w:val="en-US" w:eastAsia="zh-CN"/>
              </w:rPr>
              <w:t>6</w:t>
            </w:r>
          </w:p>
        </w:tc>
        <w:tc>
          <w:tcPr>
            <w:tcW w:w="900" w:type="dxa"/>
            <w:noWrap w:val="0"/>
            <w:tcMar>
              <w:left w:w="57" w:type="dxa"/>
              <w:right w:w="57" w:type="dxa"/>
            </w:tcMar>
            <w:vAlign w:val="center"/>
          </w:tcPr>
          <w:p>
            <w:pPr>
              <w:spacing w:after="0"/>
              <w:rPr>
                <w:rFonts w:hint="default" w:eastAsia="微软雅黑"/>
                <w:color w:val="000000"/>
                <w:kern w:val="2"/>
                <w:sz w:val="15"/>
                <w:szCs w:val="15"/>
                <w:lang w:val="en-US" w:eastAsia="zh-CN"/>
              </w:rPr>
            </w:pPr>
          </w:p>
        </w:tc>
        <w:tc>
          <w:tcPr>
            <w:tcW w:w="1440" w:type="dxa"/>
            <w:gridSpan w:val="2"/>
            <w:noWrap w:val="0"/>
            <w:tcMar>
              <w:left w:w="57" w:type="dxa"/>
              <w:right w:w="57" w:type="dxa"/>
            </w:tcMar>
            <w:vAlign w:val="center"/>
          </w:tcPr>
          <w:p>
            <w:pPr>
              <w:spacing w:after="0"/>
              <w:jc w:val="center"/>
              <w:rPr>
                <w:b/>
                <w:color w:val="000000"/>
                <w:kern w:val="2"/>
                <w:sz w:val="15"/>
                <w:szCs w:val="15"/>
              </w:rPr>
            </w:pPr>
            <w:r>
              <w:rPr>
                <w:b/>
                <w:color w:val="000000"/>
                <w:kern w:val="2"/>
                <w:sz w:val="15"/>
                <w:szCs w:val="15"/>
              </w:rPr>
              <w:t>噪声治理（万元）</w:t>
            </w:r>
          </w:p>
        </w:tc>
        <w:tc>
          <w:tcPr>
            <w:tcW w:w="540" w:type="dxa"/>
            <w:noWrap w:val="0"/>
            <w:tcMar>
              <w:left w:w="57" w:type="dxa"/>
              <w:right w:w="57" w:type="dxa"/>
            </w:tcMar>
            <w:vAlign w:val="center"/>
          </w:tcPr>
          <w:p>
            <w:pPr>
              <w:spacing w:after="0"/>
              <w:jc w:val="both"/>
              <w:rPr>
                <w:rFonts w:hint="eastAsia" w:eastAsia="宋体"/>
                <w:color w:val="000000"/>
                <w:kern w:val="2"/>
                <w:sz w:val="15"/>
                <w:szCs w:val="15"/>
                <w:lang w:val="en-US" w:eastAsia="zh-CN"/>
              </w:rPr>
            </w:pPr>
            <w:r>
              <w:rPr>
                <w:rFonts w:hint="eastAsia" w:eastAsia="宋体"/>
                <w:color w:val="000000"/>
                <w:kern w:val="2"/>
                <w:sz w:val="15"/>
                <w:szCs w:val="15"/>
                <w:lang w:val="en-US" w:eastAsia="zh-CN"/>
              </w:rPr>
              <w:t>4</w:t>
            </w:r>
          </w:p>
        </w:tc>
        <w:tc>
          <w:tcPr>
            <w:tcW w:w="2160" w:type="dxa"/>
            <w:gridSpan w:val="2"/>
            <w:noWrap w:val="0"/>
            <w:tcMar>
              <w:left w:w="57" w:type="dxa"/>
              <w:right w:w="57" w:type="dxa"/>
            </w:tcMar>
            <w:vAlign w:val="center"/>
          </w:tcPr>
          <w:p>
            <w:pPr>
              <w:spacing w:after="0"/>
              <w:jc w:val="both"/>
              <w:rPr>
                <w:color w:val="000000"/>
                <w:kern w:val="2"/>
                <w:sz w:val="15"/>
                <w:szCs w:val="15"/>
              </w:rPr>
            </w:pPr>
            <w:r>
              <w:rPr>
                <w:b/>
                <w:color w:val="000000"/>
                <w:kern w:val="2"/>
                <w:sz w:val="15"/>
                <w:szCs w:val="15"/>
              </w:rPr>
              <w:t>固</w:t>
            </w:r>
            <w:r>
              <w:rPr>
                <w:rFonts w:hint="eastAsia"/>
                <w:b/>
                <w:color w:val="000000"/>
                <w:kern w:val="2"/>
                <w:sz w:val="15"/>
                <w:szCs w:val="15"/>
              </w:rPr>
              <w:t>体</w:t>
            </w:r>
            <w:r>
              <w:rPr>
                <w:b/>
                <w:color w:val="000000"/>
                <w:kern w:val="2"/>
                <w:sz w:val="15"/>
                <w:szCs w:val="15"/>
              </w:rPr>
              <w:t>废</w:t>
            </w:r>
            <w:r>
              <w:rPr>
                <w:rFonts w:hint="eastAsia"/>
                <w:b/>
                <w:color w:val="000000"/>
                <w:kern w:val="2"/>
                <w:sz w:val="15"/>
                <w:szCs w:val="15"/>
              </w:rPr>
              <w:t>物</w:t>
            </w:r>
            <w:r>
              <w:rPr>
                <w:b/>
                <w:color w:val="000000"/>
                <w:kern w:val="2"/>
                <w:sz w:val="15"/>
                <w:szCs w:val="15"/>
              </w:rPr>
              <w:t>治理（万元）</w:t>
            </w:r>
          </w:p>
        </w:tc>
        <w:tc>
          <w:tcPr>
            <w:tcW w:w="1980" w:type="dxa"/>
            <w:noWrap w:val="0"/>
            <w:tcMar>
              <w:left w:w="57" w:type="dxa"/>
              <w:right w:w="57" w:type="dxa"/>
            </w:tcMar>
            <w:vAlign w:val="top"/>
          </w:tcPr>
          <w:p>
            <w:pPr>
              <w:spacing w:after="0"/>
              <w:rPr>
                <w:rFonts w:hint="default" w:eastAsia="微软雅黑"/>
                <w:color w:val="000000"/>
                <w:kern w:val="2"/>
                <w:sz w:val="15"/>
                <w:szCs w:val="15"/>
                <w:lang w:val="en-US" w:eastAsia="zh-CN"/>
              </w:rPr>
            </w:pPr>
            <w:r>
              <w:rPr>
                <w:rFonts w:hint="eastAsia"/>
                <w:color w:val="000000"/>
                <w:kern w:val="2"/>
                <w:sz w:val="15"/>
                <w:szCs w:val="15"/>
                <w:lang w:val="en-US" w:eastAsia="zh-CN"/>
              </w:rPr>
              <w:t>1.5</w:t>
            </w:r>
          </w:p>
        </w:tc>
        <w:tc>
          <w:tcPr>
            <w:tcW w:w="1620" w:type="dxa"/>
            <w:gridSpan w:val="2"/>
            <w:noWrap w:val="0"/>
            <w:tcMar>
              <w:left w:w="57" w:type="dxa"/>
              <w:right w:w="57" w:type="dxa"/>
            </w:tcMar>
            <w:vAlign w:val="center"/>
          </w:tcPr>
          <w:p>
            <w:pPr>
              <w:spacing w:after="0"/>
              <w:rPr>
                <w:b/>
                <w:color w:val="000000"/>
                <w:kern w:val="2"/>
                <w:sz w:val="15"/>
                <w:szCs w:val="15"/>
              </w:rPr>
            </w:pPr>
            <w:r>
              <w:rPr>
                <w:b/>
                <w:color w:val="000000"/>
                <w:kern w:val="2"/>
                <w:sz w:val="15"/>
                <w:szCs w:val="15"/>
              </w:rPr>
              <w:t>绿化及生态（万元）</w:t>
            </w:r>
          </w:p>
        </w:tc>
        <w:tc>
          <w:tcPr>
            <w:tcW w:w="781" w:type="dxa"/>
            <w:noWrap w:val="0"/>
            <w:tcMar>
              <w:left w:w="57" w:type="dxa"/>
              <w:right w:w="57" w:type="dxa"/>
            </w:tcMar>
            <w:vAlign w:val="center"/>
          </w:tcPr>
          <w:p>
            <w:pPr>
              <w:spacing w:after="0"/>
              <w:rPr>
                <w:rFonts w:hint="eastAsia" w:eastAsia="微软雅黑"/>
                <w:color w:val="000000"/>
                <w:kern w:val="2"/>
                <w:sz w:val="15"/>
                <w:szCs w:val="15"/>
                <w:lang w:val="en-US" w:eastAsia="zh-CN"/>
              </w:rPr>
            </w:pPr>
            <w:r>
              <w:rPr>
                <w:rFonts w:hint="eastAsia"/>
                <w:color w:val="000000"/>
                <w:kern w:val="2"/>
                <w:sz w:val="15"/>
                <w:szCs w:val="15"/>
                <w:lang w:val="en-US" w:eastAsia="zh-CN"/>
              </w:rPr>
              <w:t>0</w:t>
            </w:r>
          </w:p>
        </w:tc>
        <w:tc>
          <w:tcPr>
            <w:tcW w:w="1102" w:type="dxa"/>
            <w:gridSpan w:val="2"/>
            <w:noWrap w:val="0"/>
            <w:tcMar>
              <w:left w:w="57" w:type="dxa"/>
              <w:right w:w="57" w:type="dxa"/>
            </w:tcMar>
            <w:vAlign w:val="center"/>
          </w:tcPr>
          <w:p>
            <w:pPr>
              <w:spacing w:after="0"/>
              <w:jc w:val="center"/>
              <w:rPr>
                <w:b/>
                <w:color w:val="000000"/>
                <w:kern w:val="2"/>
                <w:sz w:val="15"/>
                <w:szCs w:val="15"/>
              </w:rPr>
            </w:pPr>
            <w:r>
              <w:rPr>
                <w:b/>
                <w:color w:val="000000"/>
                <w:kern w:val="2"/>
                <w:sz w:val="15"/>
                <w:szCs w:val="15"/>
              </w:rPr>
              <w:t>其</w:t>
            </w:r>
            <w:r>
              <w:rPr>
                <w:rFonts w:hint="eastAsia"/>
                <w:b/>
                <w:color w:val="000000"/>
                <w:kern w:val="2"/>
                <w:sz w:val="15"/>
                <w:szCs w:val="15"/>
              </w:rPr>
              <w:t>他</w:t>
            </w:r>
            <w:r>
              <w:rPr>
                <w:b/>
                <w:color w:val="000000"/>
                <w:kern w:val="2"/>
                <w:sz w:val="15"/>
                <w:szCs w:val="15"/>
              </w:rPr>
              <w:t>（万元）</w:t>
            </w:r>
          </w:p>
        </w:tc>
        <w:tc>
          <w:tcPr>
            <w:tcW w:w="794" w:type="dxa"/>
            <w:noWrap w:val="0"/>
            <w:tcMar>
              <w:left w:w="57" w:type="dxa"/>
              <w:right w:w="57" w:type="dxa"/>
            </w:tcMar>
            <w:vAlign w:val="top"/>
          </w:tcPr>
          <w:p>
            <w:pPr>
              <w:spacing w:after="0"/>
              <w:rPr>
                <w:rFonts w:hint="default" w:eastAsia="宋体"/>
                <w:color w:val="000000"/>
                <w:kern w:val="2"/>
                <w:sz w:val="15"/>
                <w:szCs w:val="15"/>
                <w:lang w:val="en-US" w:eastAsia="zh-CN"/>
              </w:rPr>
            </w:pPr>
            <w:r>
              <w:rPr>
                <w:rFonts w:hint="eastAsia" w:eastAsia="宋体"/>
                <w:color w:val="000000"/>
                <w:kern w:val="2"/>
                <w:sz w:val="15"/>
                <w:szCs w:val="15"/>
                <w:lang w:val="en-US" w:eastAsia="zh-CN"/>
              </w:rPr>
              <w:t>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color w:val="000000"/>
                <w:kern w:val="2"/>
                <w:sz w:val="15"/>
                <w:szCs w:val="15"/>
              </w:rPr>
            </w:pPr>
            <w:r>
              <w:rPr>
                <w:b/>
                <w:color w:val="000000"/>
                <w:kern w:val="2"/>
                <w:sz w:val="15"/>
                <w:szCs w:val="15"/>
              </w:rPr>
              <w:t>新增废水处理设施能力</w:t>
            </w:r>
          </w:p>
        </w:tc>
        <w:tc>
          <w:tcPr>
            <w:tcW w:w="5045" w:type="dxa"/>
            <w:gridSpan w:val="6"/>
            <w:noWrap w:val="0"/>
            <w:tcMar>
              <w:left w:w="57" w:type="dxa"/>
              <w:right w:w="57" w:type="dxa"/>
            </w:tcMar>
            <w:vAlign w:val="top"/>
          </w:tcPr>
          <w:p>
            <w:pPr>
              <w:spacing w:after="0"/>
              <w:rPr>
                <w:color w:val="000000"/>
                <w:kern w:val="2"/>
                <w:sz w:val="15"/>
                <w:szCs w:val="15"/>
              </w:rPr>
            </w:pPr>
          </w:p>
        </w:tc>
        <w:tc>
          <w:tcPr>
            <w:tcW w:w="2160" w:type="dxa"/>
            <w:gridSpan w:val="2"/>
            <w:noWrap w:val="0"/>
            <w:tcMar>
              <w:left w:w="57" w:type="dxa"/>
              <w:right w:w="57" w:type="dxa"/>
            </w:tcMar>
            <w:vAlign w:val="top"/>
          </w:tcPr>
          <w:p>
            <w:pPr>
              <w:spacing w:after="0"/>
              <w:rPr>
                <w:color w:val="000000"/>
                <w:kern w:val="2"/>
                <w:sz w:val="15"/>
                <w:szCs w:val="15"/>
              </w:rPr>
            </w:pPr>
            <w:r>
              <w:rPr>
                <w:b/>
                <w:color w:val="000000"/>
                <w:kern w:val="2"/>
                <w:sz w:val="15"/>
                <w:szCs w:val="15"/>
              </w:rPr>
              <w:t>新增废气处理设施能力</w:t>
            </w:r>
          </w:p>
        </w:tc>
        <w:tc>
          <w:tcPr>
            <w:tcW w:w="1980" w:type="dxa"/>
            <w:noWrap w:val="0"/>
            <w:tcMar>
              <w:left w:w="57" w:type="dxa"/>
              <w:right w:w="57" w:type="dxa"/>
            </w:tcMar>
            <w:vAlign w:val="top"/>
          </w:tcPr>
          <w:p>
            <w:pPr>
              <w:spacing w:after="0"/>
              <w:rPr>
                <w:color w:val="000000"/>
                <w:kern w:val="2"/>
                <w:sz w:val="15"/>
                <w:szCs w:val="15"/>
              </w:rPr>
            </w:pPr>
          </w:p>
        </w:tc>
        <w:tc>
          <w:tcPr>
            <w:tcW w:w="1620" w:type="dxa"/>
            <w:gridSpan w:val="2"/>
            <w:noWrap w:val="0"/>
            <w:tcMar>
              <w:left w:w="57" w:type="dxa"/>
              <w:right w:w="57" w:type="dxa"/>
            </w:tcMar>
            <w:vAlign w:val="top"/>
          </w:tcPr>
          <w:p>
            <w:pPr>
              <w:spacing w:after="0"/>
              <w:rPr>
                <w:color w:val="000000"/>
                <w:kern w:val="2"/>
                <w:sz w:val="15"/>
                <w:szCs w:val="15"/>
              </w:rPr>
            </w:pPr>
            <w:r>
              <w:rPr>
                <w:b/>
                <w:color w:val="000000"/>
                <w:kern w:val="2"/>
                <w:sz w:val="15"/>
                <w:szCs w:val="15"/>
              </w:rPr>
              <w:t>年平均工作时</w:t>
            </w:r>
          </w:p>
        </w:tc>
        <w:tc>
          <w:tcPr>
            <w:tcW w:w="2677" w:type="dxa"/>
            <w:gridSpan w:val="4"/>
            <w:noWrap w:val="0"/>
            <w:tcMar>
              <w:left w:w="57" w:type="dxa"/>
              <w:right w:w="57" w:type="dxa"/>
            </w:tcMar>
            <w:vAlign w:val="top"/>
          </w:tcPr>
          <w:p>
            <w:pPr>
              <w:spacing w:after="0"/>
              <w:rPr>
                <w:rFonts w:hint="eastAsia"/>
                <w:color w:val="000000"/>
                <w:kern w:val="2"/>
                <w:sz w:val="15"/>
                <w:szCs w:val="15"/>
              </w:rPr>
            </w:pPr>
            <w:r>
              <w:rPr>
                <w:rFonts w:hint="eastAsia"/>
                <w:color w:val="000000"/>
                <w:kern w:val="2"/>
                <w:sz w:val="15"/>
                <w:szCs w:val="15"/>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4" w:type="dxa"/>
            <w:gridSpan w:val="4"/>
            <w:noWrap w:val="0"/>
            <w:tcMar>
              <w:left w:w="57" w:type="dxa"/>
              <w:right w:w="57" w:type="dxa"/>
            </w:tcMar>
            <w:vAlign w:val="center"/>
          </w:tcPr>
          <w:p>
            <w:pPr>
              <w:spacing w:after="0"/>
              <w:jc w:val="center"/>
              <w:rPr>
                <w:b/>
                <w:color w:val="000000"/>
                <w:kern w:val="2"/>
                <w:sz w:val="15"/>
                <w:szCs w:val="15"/>
              </w:rPr>
            </w:pPr>
            <w:r>
              <w:rPr>
                <w:b/>
                <w:color w:val="000000"/>
                <w:kern w:val="2"/>
                <w:sz w:val="15"/>
                <w:szCs w:val="15"/>
              </w:rPr>
              <w:t>运营单位</w:t>
            </w:r>
          </w:p>
        </w:tc>
        <w:tc>
          <w:tcPr>
            <w:tcW w:w="3965" w:type="dxa"/>
            <w:gridSpan w:val="4"/>
            <w:noWrap w:val="0"/>
            <w:tcMar>
              <w:left w:w="57" w:type="dxa"/>
              <w:right w:w="57" w:type="dxa"/>
            </w:tcMar>
            <w:vAlign w:val="center"/>
          </w:tcPr>
          <w:p>
            <w:pPr>
              <w:spacing w:after="0"/>
              <w:rPr>
                <w:color w:val="000000"/>
                <w:kern w:val="2"/>
                <w:sz w:val="15"/>
                <w:szCs w:val="15"/>
              </w:rPr>
            </w:pPr>
          </w:p>
        </w:tc>
        <w:tc>
          <w:tcPr>
            <w:tcW w:w="3240" w:type="dxa"/>
            <w:gridSpan w:val="4"/>
            <w:noWrap w:val="0"/>
            <w:tcMar>
              <w:left w:w="57" w:type="dxa"/>
              <w:right w:w="57" w:type="dxa"/>
            </w:tcMar>
            <w:vAlign w:val="center"/>
          </w:tcPr>
          <w:p>
            <w:pPr>
              <w:spacing w:after="0"/>
              <w:jc w:val="center"/>
              <w:rPr>
                <w:color w:val="000000"/>
                <w:kern w:val="2"/>
                <w:sz w:val="15"/>
                <w:szCs w:val="15"/>
              </w:rPr>
            </w:pPr>
            <w:r>
              <w:rPr>
                <w:b/>
                <w:color w:val="000000"/>
                <w:kern w:val="2"/>
                <w:sz w:val="15"/>
                <w:szCs w:val="15"/>
              </w:rPr>
              <w:t>运营单位</w:t>
            </w:r>
            <w:r>
              <w:rPr>
                <w:rFonts w:hint="eastAsia"/>
                <w:b/>
                <w:color w:val="000000"/>
                <w:kern w:val="2"/>
                <w:sz w:val="15"/>
                <w:szCs w:val="15"/>
              </w:rPr>
              <w:t>社会统一信用代码（或组织机构代码）</w:t>
            </w:r>
          </w:p>
        </w:tc>
        <w:tc>
          <w:tcPr>
            <w:tcW w:w="1980" w:type="dxa"/>
            <w:noWrap w:val="0"/>
            <w:tcMar>
              <w:left w:w="57" w:type="dxa"/>
              <w:right w:w="57" w:type="dxa"/>
            </w:tcMar>
            <w:vAlign w:val="center"/>
          </w:tcPr>
          <w:p>
            <w:pPr>
              <w:spacing w:after="0"/>
              <w:rPr>
                <w:b/>
                <w:color w:val="000000"/>
                <w:kern w:val="2"/>
                <w:sz w:val="15"/>
                <w:szCs w:val="15"/>
              </w:rPr>
            </w:pPr>
          </w:p>
        </w:tc>
        <w:tc>
          <w:tcPr>
            <w:tcW w:w="1620" w:type="dxa"/>
            <w:gridSpan w:val="2"/>
            <w:noWrap w:val="0"/>
            <w:tcMar>
              <w:left w:w="57" w:type="dxa"/>
              <w:right w:w="57" w:type="dxa"/>
            </w:tcMar>
            <w:vAlign w:val="top"/>
          </w:tcPr>
          <w:p>
            <w:pPr>
              <w:spacing w:after="0"/>
              <w:rPr>
                <w:b/>
                <w:color w:val="000000"/>
                <w:kern w:val="2"/>
                <w:sz w:val="15"/>
                <w:szCs w:val="15"/>
              </w:rPr>
            </w:pPr>
            <w:r>
              <w:rPr>
                <w:b/>
                <w:color w:val="000000"/>
                <w:kern w:val="2"/>
                <w:sz w:val="15"/>
                <w:szCs w:val="15"/>
              </w:rPr>
              <w:t>验收时间</w:t>
            </w:r>
          </w:p>
        </w:tc>
        <w:tc>
          <w:tcPr>
            <w:tcW w:w="2677" w:type="dxa"/>
            <w:gridSpan w:val="4"/>
            <w:noWrap w:val="0"/>
            <w:tcMar>
              <w:left w:w="57" w:type="dxa"/>
              <w:right w:w="57" w:type="dxa"/>
            </w:tcMar>
            <w:vAlign w:val="top"/>
          </w:tcPr>
          <w:p>
            <w:pPr>
              <w:spacing w:after="0"/>
              <w:rPr>
                <w:rFonts w:hint="default" w:eastAsia="宋体"/>
                <w:color w:val="000000"/>
                <w:kern w:val="2"/>
                <w:sz w:val="15"/>
                <w:szCs w:val="15"/>
                <w:lang w:val="en-US" w:eastAsia="zh-CN"/>
              </w:rPr>
            </w:pPr>
            <w:r>
              <w:rPr>
                <w:rFonts w:hint="eastAsia"/>
                <w:color w:val="000000"/>
                <w:kern w:val="2"/>
                <w:sz w:val="15"/>
                <w:szCs w:val="15"/>
              </w:rPr>
              <w:t>2019.</w:t>
            </w:r>
            <w:r>
              <w:rPr>
                <w:rFonts w:hint="eastAsia" w:eastAsia="宋体"/>
                <w:color w:val="000000"/>
                <w:kern w:val="2"/>
                <w:sz w:val="15"/>
                <w:szCs w:val="15"/>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restart"/>
            <w:noWrap w:val="0"/>
            <w:tcMar>
              <w:left w:w="57" w:type="dxa"/>
              <w:right w:w="57" w:type="dxa"/>
            </w:tcMar>
            <w:vAlign w:val="center"/>
          </w:tcPr>
          <w:p>
            <w:pPr>
              <w:spacing w:after="0"/>
              <w:rPr>
                <w:rFonts w:eastAsia="黑体"/>
                <w:b/>
                <w:color w:val="000000"/>
                <w:spacing w:val="20"/>
                <w:kern w:val="2"/>
                <w:sz w:val="15"/>
                <w:szCs w:val="15"/>
              </w:rPr>
            </w:pPr>
            <w:r>
              <w:rPr>
                <w:rFonts w:eastAsia="黑体"/>
                <w:b/>
                <w:color w:val="000000"/>
                <w:spacing w:val="20"/>
                <w:kern w:val="2"/>
                <w:sz w:val="15"/>
                <w:szCs w:val="15"/>
              </w:rPr>
              <w:t>污染</w:t>
            </w:r>
          </w:p>
          <w:p>
            <w:pPr>
              <w:spacing w:after="0"/>
              <w:rPr>
                <w:rFonts w:eastAsia="黑体"/>
                <w:b/>
                <w:color w:val="000000"/>
                <w:spacing w:val="20"/>
                <w:kern w:val="2"/>
                <w:sz w:val="15"/>
                <w:szCs w:val="15"/>
              </w:rPr>
            </w:pPr>
            <w:r>
              <w:rPr>
                <w:rFonts w:eastAsia="黑体"/>
                <w:b/>
                <w:color w:val="000000"/>
                <w:spacing w:val="20"/>
                <w:kern w:val="2"/>
                <w:sz w:val="15"/>
                <w:szCs w:val="15"/>
              </w:rPr>
              <w:t>物排</w:t>
            </w:r>
          </w:p>
          <w:p>
            <w:pPr>
              <w:spacing w:after="0"/>
              <w:rPr>
                <w:rFonts w:eastAsia="黑体"/>
                <w:b/>
                <w:color w:val="000000"/>
                <w:spacing w:val="20"/>
                <w:kern w:val="2"/>
                <w:sz w:val="15"/>
                <w:szCs w:val="15"/>
              </w:rPr>
            </w:pPr>
            <w:r>
              <w:rPr>
                <w:rFonts w:eastAsia="黑体"/>
                <w:b/>
                <w:color w:val="000000"/>
                <w:spacing w:val="20"/>
                <w:kern w:val="2"/>
                <w:sz w:val="15"/>
                <w:szCs w:val="15"/>
              </w:rPr>
              <w:t>放达</w:t>
            </w:r>
          </w:p>
          <w:p>
            <w:pPr>
              <w:spacing w:after="0"/>
              <w:rPr>
                <w:rFonts w:eastAsia="黑体"/>
                <w:b/>
                <w:color w:val="000000"/>
                <w:spacing w:val="20"/>
                <w:kern w:val="2"/>
                <w:sz w:val="15"/>
                <w:szCs w:val="15"/>
              </w:rPr>
            </w:pPr>
            <w:r>
              <w:rPr>
                <w:rFonts w:eastAsia="黑体"/>
                <w:b/>
                <w:color w:val="000000"/>
                <w:spacing w:val="20"/>
                <w:kern w:val="2"/>
                <w:sz w:val="15"/>
                <w:szCs w:val="15"/>
              </w:rPr>
              <w:t>标与</w:t>
            </w:r>
          </w:p>
          <w:p>
            <w:pPr>
              <w:spacing w:after="0"/>
              <w:rPr>
                <w:rFonts w:eastAsia="黑体"/>
                <w:b/>
                <w:color w:val="000000"/>
                <w:spacing w:val="20"/>
                <w:kern w:val="2"/>
                <w:sz w:val="15"/>
                <w:szCs w:val="15"/>
              </w:rPr>
            </w:pPr>
            <w:r>
              <w:rPr>
                <w:rFonts w:eastAsia="黑体"/>
                <w:b/>
                <w:color w:val="000000"/>
                <w:spacing w:val="20"/>
                <w:kern w:val="2"/>
                <w:sz w:val="15"/>
                <w:szCs w:val="15"/>
              </w:rPr>
              <w:t>总量</w:t>
            </w:r>
          </w:p>
          <w:p>
            <w:pPr>
              <w:spacing w:after="0"/>
              <w:rPr>
                <w:rFonts w:eastAsia="黑体"/>
                <w:b/>
                <w:color w:val="000000"/>
                <w:spacing w:val="20"/>
                <w:kern w:val="2"/>
                <w:sz w:val="15"/>
                <w:szCs w:val="15"/>
              </w:rPr>
            </w:pPr>
            <w:r>
              <w:rPr>
                <w:rFonts w:eastAsia="黑体"/>
                <w:b/>
                <w:color w:val="000000"/>
                <w:spacing w:val="20"/>
                <w:kern w:val="2"/>
                <w:sz w:val="15"/>
                <w:szCs w:val="15"/>
              </w:rPr>
              <w:t>控制（工</w:t>
            </w:r>
          </w:p>
          <w:p>
            <w:pPr>
              <w:spacing w:after="0"/>
              <w:rPr>
                <w:rFonts w:eastAsia="黑体"/>
                <w:b/>
                <w:color w:val="000000"/>
                <w:spacing w:val="20"/>
                <w:kern w:val="2"/>
                <w:sz w:val="15"/>
                <w:szCs w:val="15"/>
              </w:rPr>
            </w:pPr>
            <w:r>
              <w:rPr>
                <w:rFonts w:eastAsia="黑体"/>
                <w:b/>
                <w:color w:val="000000"/>
                <w:spacing w:val="20"/>
                <w:kern w:val="2"/>
                <w:sz w:val="15"/>
                <w:szCs w:val="15"/>
              </w:rPr>
              <w:t>业建</w:t>
            </w:r>
          </w:p>
          <w:p>
            <w:pPr>
              <w:spacing w:after="0"/>
              <w:rPr>
                <w:rFonts w:eastAsia="黑体"/>
                <w:b/>
                <w:color w:val="000000"/>
                <w:spacing w:val="20"/>
                <w:kern w:val="2"/>
                <w:sz w:val="15"/>
                <w:szCs w:val="15"/>
              </w:rPr>
            </w:pPr>
            <w:r>
              <w:rPr>
                <w:rFonts w:eastAsia="黑体"/>
                <w:b/>
                <w:color w:val="000000"/>
                <w:spacing w:val="20"/>
                <w:kern w:val="2"/>
                <w:sz w:val="15"/>
                <w:szCs w:val="15"/>
              </w:rPr>
              <w:t>设项</w:t>
            </w:r>
          </w:p>
          <w:p>
            <w:pPr>
              <w:spacing w:after="0"/>
              <w:rPr>
                <w:rFonts w:eastAsia="黑体"/>
                <w:b/>
                <w:color w:val="000000"/>
                <w:spacing w:val="20"/>
                <w:kern w:val="2"/>
                <w:sz w:val="15"/>
                <w:szCs w:val="15"/>
              </w:rPr>
            </w:pPr>
            <w:r>
              <w:rPr>
                <w:rFonts w:eastAsia="黑体"/>
                <w:b/>
                <w:color w:val="000000"/>
                <w:spacing w:val="20"/>
                <w:kern w:val="2"/>
                <w:sz w:val="15"/>
                <w:szCs w:val="15"/>
              </w:rPr>
              <w:t>目详填）</w:t>
            </w:r>
          </w:p>
        </w:tc>
        <w:tc>
          <w:tcPr>
            <w:tcW w:w="1796" w:type="dxa"/>
            <w:gridSpan w:val="2"/>
            <w:noWrap w:val="0"/>
            <w:tcMar>
              <w:left w:w="57" w:type="dxa"/>
              <w:right w:w="57" w:type="dxa"/>
            </w:tcMar>
            <w:vAlign w:val="center"/>
          </w:tcPr>
          <w:p>
            <w:pPr>
              <w:spacing w:after="0"/>
              <w:rPr>
                <w:color w:val="000000"/>
                <w:kern w:val="2"/>
                <w:sz w:val="15"/>
                <w:szCs w:val="15"/>
              </w:rPr>
            </w:pPr>
            <w:r>
              <w:rPr>
                <w:b/>
                <w:color w:val="000000"/>
                <w:kern w:val="2"/>
                <w:sz w:val="15"/>
                <w:szCs w:val="15"/>
              </w:rPr>
              <w:t>污染物</w:t>
            </w:r>
          </w:p>
        </w:tc>
        <w:tc>
          <w:tcPr>
            <w:tcW w:w="828" w:type="dxa"/>
            <w:noWrap w:val="0"/>
            <w:tcMar>
              <w:left w:w="57" w:type="dxa"/>
              <w:right w:w="57" w:type="dxa"/>
            </w:tcMar>
            <w:vAlign w:val="center"/>
          </w:tcPr>
          <w:p>
            <w:pPr>
              <w:spacing w:after="0"/>
              <w:rPr>
                <w:b/>
                <w:color w:val="000000"/>
                <w:kern w:val="2"/>
                <w:sz w:val="15"/>
                <w:szCs w:val="15"/>
              </w:rPr>
            </w:pPr>
            <w:r>
              <w:rPr>
                <w:b/>
                <w:color w:val="000000"/>
                <w:kern w:val="2"/>
                <w:sz w:val="15"/>
                <w:szCs w:val="15"/>
              </w:rPr>
              <w:t>原有排</w:t>
            </w:r>
          </w:p>
          <w:p>
            <w:pPr>
              <w:spacing w:after="0"/>
              <w:rPr>
                <w:b/>
                <w:color w:val="000000"/>
                <w:kern w:val="2"/>
                <w:sz w:val="15"/>
                <w:szCs w:val="15"/>
              </w:rPr>
            </w:pPr>
            <w:r>
              <w:rPr>
                <w:b/>
                <w:color w:val="000000"/>
                <w:kern w:val="2"/>
                <w:sz w:val="15"/>
                <w:szCs w:val="15"/>
              </w:rPr>
              <w:t>放量(1)</w:t>
            </w:r>
          </w:p>
        </w:tc>
        <w:tc>
          <w:tcPr>
            <w:tcW w:w="1337" w:type="dxa"/>
            <w:noWrap w:val="0"/>
            <w:tcMar>
              <w:left w:w="57" w:type="dxa"/>
              <w:right w:w="57" w:type="dxa"/>
            </w:tcMar>
            <w:vAlign w:val="center"/>
          </w:tcPr>
          <w:p>
            <w:pPr>
              <w:spacing w:after="0"/>
              <w:rPr>
                <w:b/>
                <w:color w:val="000000"/>
                <w:kern w:val="2"/>
                <w:sz w:val="15"/>
                <w:szCs w:val="15"/>
              </w:rPr>
            </w:pPr>
            <w:r>
              <w:rPr>
                <w:b/>
                <w:color w:val="000000"/>
                <w:kern w:val="2"/>
                <w:sz w:val="15"/>
                <w:szCs w:val="15"/>
              </w:rPr>
              <w:t>本期工程实际排放浓度(2)</w:t>
            </w:r>
          </w:p>
        </w:tc>
        <w:tc>
          <w:tcPr>
            <w:tcW w:w="900" w:type="dxa"/>
            <w:noWrap w:val="0"/>
            <w:tcMar>
              <w:left w:w="57" w:type="dxa"/>
              <w:right w:w="57" w:type="dxa"/>
            </w:tcMar>
            <w:vAlign w:val="center"/>
          </w:tcPr>
          <w:p>
            <w:pPr>
              <w:spacing w:after="0"/>
              <w:rPr>
                <w:b/>
                <w:color w:val="000000"/>
                <w:kern w:val="2"/>
                <w:sz w:val="15"/>
                <w:szCs w:val="15"/>
              </w:rPr>
            </w:pPr>
            <w:r>
              <w:rPr>
                <w:b/>
                <w:color w:val="000000"/>
                <w:kern w:val="2"/>
                <w:sz w:val="15"/>
                <w:szCs w:val="15"/>
              </w:rPr>
              <w:t>本期工程允许排放浓度(3)</w:t>
            </w:r>
          </w:p>
        </w:tc>
        <w:tc>
          <w:tcPr>
            <w:tcW w:w="900" w:type="dxa"/>
            <w:noWrap w:val="0"/>
            <w:tcMar>
              <w:left w:w="57" w:type="dxa"/>
              <w:right w:w="57" w:type="dxa"/>
            </w:tcMar>
            <w:vAlign w:val="center"/>
          </w:tcPr>
          <w:p>
            <w:pPr>
              <w:spacing w:after="0"/>
              <w:rPr>
                <w:b/>
                <w:color w:val="000000"/>
                <w:kern w:val="2"/>
                <w:sz w:val="15"/>
                <w:szCs w:val="15"/>
              </w:rPr>
            </w:pPr>
            <w:r>
              <w:rPr>
                <w:b/>
                <w:color w:val="000000"/>
                <w:kern w:val="2"/>
                <w:sz w:val="15"/>
                <w:szCs w:val="15"/>
              </w:rPr>
              <w:t>本期工程产生量(4)</w:t>
            </w:r>
          </w:p>
        </w:tc>
        <w:tc>
          <w:tcPr>
            <w:tcW w:w="1080" w:type="dxa"/>
            <w:gridSpan w:val="2"/>
            <w:noWrap w:val="0"/>
            <w:tcMar>
              <w:left w:w="57" w:type="dxa"/>
              <w:right w:w="57" w:type="dxa"/>
            </w:tcMar>
            <w:vAlign w:val="center"/>
          </w:tcPr>
          <w:p>
            <w:pPr>
              <w:spacing w:after="0"/>
              <w:rPr>
                <w:b/>
                <w:color w:val="000000"/>
                <w:kern w:val="2"/>
                <w:sz w:val="15"/>
                <w:szCs w:val="15"/>
              </w:rPr>
            </w:pPr>
            <w:r>
              <w:rPr>
                <w:b/>
                <w:color w:val="000000"/>
                <w:kern w:val="2"/>
                <w:sz w:val="15"/>
                <w:szCs w:val="15"/>
              </w:rPr>
              <w:t>本期工程自身削减量(5)</w:t>
            </w:r>
          </w:p>
        </w:tc>
        <w:tc>
          <w:tcPr>
            <w:tcW w:w="1080" w:type="dxa"/>
            <w:noWrap w:val="0"/>
            <w:tcMar>
              <w:left w:w="57" w:type="dxa"/>
              <w:right w:w="57" w:type="dxa"/>
            </w:tcMar>
            <w:vAlign w:val="center"/>
          </w:tcPr>
          <w:p>
            <w:pPr>
              <w:spacing w:after="0"/>
              <w:rPr>
                <w:b/>
                <w:color w:val="000000"/>
                <w:kern w:val="2"/>
                <w:sz w:val="15"/>
                <w:szCs w:val="15"/>
              </w:rPr>
            </w:pPr>
            <w:r>
              <w:rPr>
                <w:b/>
                <w:color w:val="000000"/>
                <w:kern w:val="2"/>
                <w:sz w:val="15"/>
                <w:szCs w:val="15"/>
              </w:rPr>
              <w:t>本期工程实际排放量(6)</w:t>
            </w:r>
          </w:p>
        </w:tc>
        <w:tc>
          <w:tcPr>
            <w:tcW w:w="1080" w:type="dxa"/>
            <w:noWrap w:val="0"/>
            <w:tcMar>
              <w:left w:w="57" w:type="dxa"/>
              <w:right w:w="57" w:type="dxa"/>
            </w:tcMar>
            <w:vAlign w:val="center"/>
          </w:tcPr>
          <w:p>
            <w:pPr>
              <w:spacing w:after="0"/>
              <w:jc w:val="center"/>
              <w:rPr>
                <w:b/>
                <w:color w:val="000000"/>
                <w:kern w:val="2"/>
                <w:sz w:val="15"/>
                <w:szCs w:val="15"/>
              </w:rPr>
            </w:pPr>
            <w:r>
              <w:rPr>
                <w:b/>
                <w:color w:val="000000"/>
                <w:kern w:val="2"/>
                <w:sz w:val="15"/>
                <w:szCs w:val="15"/>
              </w:rPr>
              <w:t>本期工程核定排放总量(7)</w:t>
            </w:r>
          </w:p>
        </w:tc>
        <w:tc>
          <w:tcPr>
            <w:tcW w:w="1980" w:type="dxa"/>
            <w:noWrap w:val="0"/>
            <w:tcMar>
              <w:left w:w="57" w:type="dxa"/>
              <w:right w:w="57" w:type="dxa"/>
            </w:tcMar>
            <w:vAlign w:val="center"/>
          </w:tcPr>
          <w:p>
            <w:pPr>
              <w:spacing w:after="0"/>
              <w:rPr>
                <w:b/>
                <w:color w:val="000000"/>
                <w:kern w:val="2"/>
                <w:sz w:val="15"/>
                <w:szCs w:val="15"/>
              </w:rPr>
            </w:pPr>
            <w:r>
              <w:rPr>
                <w:b/>
                <w:color w:val="000000"/>
                <w:kern w:val="2"/>
                <w:sz w:val="15"/>
                <w:szCs w:val="15"/>
              </w:rPr>
              <w:t>本期工程“以新带老”削减量(8)</w:t>
            </w:r>
          </w:p>
        </w:tc>
        <w:tc>
          <w:tcPr>
            <w:tcW w:w="1157" w:type="dxa"/>
            <w:noWrap w:val="0"/>
            <w:tcMar>
              <w:left w:w="57" w:type="dxa"/>
              <w:right w:w="57" w:type="dxa"/>
            </w:tcMar>
            <w:vAlign w:val="center"/>
          </w:tcPr>
          <w:p>
            <w:pPr>
              <w:spacing w:after="0"/>
              <w:rPr>
                <w:b/>
                <w:color w:val="000000"/>
                <w:kern w:val="2"/>
                <w:sz w:val="15"/>
                <w:szCs w:val="15"/>
              </w:rPr>
            </w:pPr>
            <w:r>
              <w:rPr>
                <w:b/>
                <w:color w:val="000000"/>
                <w:kern w:val="2"/>
                <w:sz w:val="15"/>
                <w:szCs w:val="15"/>
              </w:rPr>
              <w:t>全厂实际排放总量(9)</w:t>
            </w:r>
          </w:p>
        </w:tc>
        <w:tc>
          <w:tcPr>
            <w:tcW w:w="1244" w:type="dxa"/>
            <w:gridSpan w:val="2"/>
            <w:noWrap w:val="0"/>
            <w:tcMar>
              <w:left w:w="57" w:type="dxa"/>
              <w:right w:w="57" w:type="dxa"/>
            </w:tcMar>
            <w:vAlign w:val="center"/>
          </w:tcPr>
          <w:p>
            <w:pPr>
              <w:spacing w:after="0"/>
              <w:rPr>
                <w:b/>
                <w:color w:val="000000"/>
                <w:kern w:val="2"/>
                <w:sz w:val="15"/>
                <w:szCs w:val="15"/>
              </w:rPr>
            </w:pPr>
            <w:r>
              <w:rPr>
                <w:b/>
                <w:color w:val="000000"/>
                <w:kern w:val="2"/>
                <w:sz w:val="15"/>
                <w:szCs w:val="15"/>
              </w:rPr>
              <w:t>全厂核定排放总量(10)</w:t>
            </w:r>
          </w:p>
        </w:tc>
        <w:tc>
          <w:tcPr>
            <w:tcW w:w="1102" w:type="dxa"/>
            <w:gridSpan w:val="2"/>
            <w:noWrap w:val="0"/>
            <w:tcMar>
              <w:left w:w="57" w:type="dxa"/>
              <w:right w:w="57" w:type="dxa"/>
            </w:tcMar>
            <w:vAlign w:val="center"/>
          </w:tcPr>
          <w:p>
            <w:pPr>
              <w:spacing w:after="0"/>
              <w:rPr>
                <w:b/>
                <w:color w:val="000000"/>
                <w:kern w:val="2"/>
                <w:sz w:val="15"/>
                <w:szCs w:val="15"/>
              </w:rPr>
            </w:pPr>
            <w:r>
              <w:rPr>
                <w:b/>
                <w:color w:val="000000"/>
                <w:kern w:val="2"/>
                <w:sz w:val="15"/>
                <w:szCs w:val="15"/>
              </w:rPr>
              <w:t>区域平衡替代削减量(11)</w:t>
            </w:r>
          </w:p>
        </w:tc>
        <w:tc>
          <w:tcPr>
            <w:tcW w:w="794" w:type="dxa"/>
            <w:noWrap w:val="0"/>
            <w:tcMar>
              <w:left w:w="57" w:type="dxa"/>
              <w:right w:w="57" w:type="dxa"/>
            </w:tcMar>
            <w:vAlign w:val="center"/>
          </w:tcPr>
          <w:p>
            <w:pPr>
              <w:spacing w:after="0"/>
              <w:rPr>
                <w:b/>
                <w:color w:val="000000"/>
                <w:kern w:val="2"/>
                <w:sz w:val="15"/>
                <w:szCs w:val="15"/>
              </w:rPr>
            </w:pPr>
            <w:r>
              <w:rPr>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center"/>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color w:val="000000"/>
                <w:kern w:val="2"/>
                <w:sz w:val="15"/>
                <w:szCs w:val="15"/>
              </w:rPr>
            </w:pPr>
            <w:r>
              <w:rPr>
                <w:b/>
                <w:color w:val="000000"/>
                <w:kern w:val="2"/>
                <w:sz w:val="15"/>
                <w:szCs w:val="15"/>
              </w:rPr>
              <w:t>废水</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r>
              <w:rPr>
                <w:rFonts w:hint="eastAsia"/>
                <w:color w:val="000000"/>
                <w:kern w:val="2"/>
                <w:sz w:val="15"/>
                <w:szCs w:val="15"/>
              </w:rPr>
              <w:t>0</w:t>
            </w: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b/>
                <w:color w:val="000000"/>
                <w:kern w:val="2"/>
                <w:sz w:val="15"/>
                <w:szCs w:val="15"/>
              </w:rPr>
            </w:pPr>
            <w:r>
              <w:rPr>
                <w:b/>
                <w:color w:val="000000"/>
                <w:kern w:val="2"/>
                <w:sz w:val="15"/>
                <w:szCs w:val="15"/>
              </w:rPr>
              <w:t>化学需氧量</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r>
              <w:rPr>
                <w:rFonts w:hint="eastAsia"/>
                <w:color w:val="000000"/>
                <w:kern w:val="2"/>
                <w:sz w:val="15"/>
                <w:szCs w:val="15"/>
              </w:rPr>
              <w:t>0</w:t>
            </w: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b/>
                <w:color w:val="000000"/>
                <w:kern w:val="2"/>
                <w:sz w:val="15"/>
                <w:szCs w:val="15"/>
              </w:rPr>
            </w:pPr>
            <w:r>
              <w:rPr>
                <w:b/>
                <w:color w:val="000000"/>
                <w:kern w:val="2"/>
                <w:sz w:val="15"/>
                <w:szCs w:val="15"/>
              </w:rPr>
              <w:t>氨氮</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r>
              <w:rPr>
                <w:rFonts w:hint="eastAsia"/>
                <w:color w:val="000000"/>
                <w:kern w:val="2"/>
                <w:sz w:val="15"/>
                <w:szCs w:val="15"/>
              </w:rPr>
              <w:t>0</w:t>
            </w: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b/>
                <w:color w:val="000000"/>
                <w:kern w:val="2"/>
                <w:sz w:val="15"/>
                <w:szCs w:val="15"/>
              </w:rPr>
            </w:pPr>
            <w:r>
              <w:rPr>
                <w:b/>
                <w:color w:val="000000"/>
                <w:kern w:val="2"/>
                <w:sz w:val="15"/>
                <w:szCs w:val="15"/>
              </w:rPr>
              <w:t>石油类</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eastAsia="黑体"/>
                <w:b/>
                <w:color w:val="000000"/>
                <w:kern w:val="2"/>
                <w:sz w:val="15"/>
                <w:szCs w:val="15"/>
              </w:rPr>
            </w:pPr>
            <w:r>
              <w:rPr>
                <w:b/>
                <w:color w:val="000000"/>
                <w:kern w:val="2"/>
                <w:sz w:val="15"/>
                <w:szCs w:val="15"/>
              </w:rPr>
              <w:t>废气</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VOCs（以非甲烷总烃计）</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eastAsia"/>
                <w:color w:val="000000"/>
                <w:kern w:val="2"/>
                <w:sz w:val="15"/>
                <w:szCs w:val="15"/>
              </w:rPr>
            </w:pPr>
          </w:p>
        </w:tc>
        <w:tc>
          <w:tcPr>
            <w:tcW w:w="900" w:type="dxa"/>
            <w:noWrap w:val="0"/>
            <w:tcMar>
              <w:left w:w="57" w:type="dxa"/>
              <w:right w:w="57" w:type="dxa"/>
            </w:tcMar>
            <w:vAlign w:val="center"/>
          </w:tcPr>
          <w:p>
            <w:pPr>
              <w:spacing w:after="0"/>
              <w:jc w:val="center"/>
              <w:rPr>
                <w:rFonts w:hint="eastAsia"/>
                <w:color w:val="000000"/>
                <w:kern w:val="2"/>
                <w:sz w:val="15"/>
                <w:szCs w:val="15"/>
              </w:rPr>
            </w:pPr>
          </w:p>
        </w:tc>
        <w:tc>
          <w:tcPr>
            <w:tcW w:w="900" w:type="dxa"/>
            <w:noWrap w:val="0"/>
            <w:tcMar>
              <w:left w:w="57" w:type="dxa"/>
              <w:right w:w="57" w:type="dxa"/>
            </w:tcMar>
            <w:vAlign w:val="center"/>
          </w:tcPr>
          <w:p>
            <w:pPr>
              <w:spacing w:after="0"/>
              <w:jc w:val="center"/>
              <w:rPr>
                <w:rFonts w:hint="eastAsia"/>
                <w:color w:val="000000"/>
                <w:kern w:val="2"/>
                <w:sz w:val="15"/>
                <w:szCs w:val="15"/>
              </w:rPr>
            </w:pPr>
          </w:p>
        </w:tc>
        <w:tc>
          <w:tcPr>
            <w:tcW w:w="1080" w:type="dxa"/>
            <w:gridSpan w:val="2"/>
            <w:noWrap w:val="0"/>
            <w:tcMar>
              <w:left w:w="57" w:type="dxa"/>
              <w:right w:w="57" w:type="dxa"/>
            </w:tcMar>
            <w:vAlign w:val="center"/>
          </w:tcPr>
          <w:p>
            <w:pPr>
              <w:spacing w:after="0"/>
              <w:jc w:val="both"/>
              <w:rPr>
                <w:rFonts w:hint="eastAsia"/>
                <w:color w:val="000000"/>
                <w:kern w:val="2"/>
                <w:sz w:val="15"/>
                <w:szCs w:val="15"/>
              </w:rPr>
            </w:pPr>
          </w:p>
        </w:tc>
        <w:tc>
          <w:tcPr>
            <w:tcW w:w="1080" w:type="dxa"/>
            <w:noWrap w:val="0"/>
            <w:tcMar>
              <w:left w:w="57" w:type="dxa"/>
              <w:right w:w="57" w:type="dxa"/>
            </w:tcMar>
            <w:vAlign w:val="center"/>
          </w:tcPr>
          <w:p>
            <w:pPr>
              <w:spacing w:after="0"/>
              <w:jc w:val="both"/>
              <w:rPr>
                <w:rFonts w:hint="eastAsia"/>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textAlignment w:val="center"/>
              <w:rPr>
                <w:color w:val="000000"/>
                <w:kern w:val="2"/>
                <w:sz w:val="15"/>
                <w:szCs w:val="15"/>
              </w:rPr>
            </w:pPr>
          </w:p>
        </w:tc>
        <w:tc>
          <w:tcPr>
            <w:tcW w:w="794" w:type="dxa"/>
            <w:noWrap w:val="0"/>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颗粒物</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default" w:eastAsia="微软雅黑"/>
                <w:color w:val="000000"/>
                <w:kern w:val="2"/>
                <w:sz w:val="15"/>
                <w:szCs w:val="15"/>
                <w:lang w:val="en-US" w:eastAsia="zh-CN"/>
              </w:rPr>
            </w:pPr>
            <w:r>
              <w:rPr>
                <w:rFonts w:hint="eastAsia"/>
                <w:color w:val="000000"/>
                <w:kern w:val="2"/>
                <w:sz w:val="15"/>
                <w:szCs w:val="15"/>
                <w:lang w:val="en-US" w:eastAsia="zh-CN"/>
              </w:rPr>
              <w:t xml:space="preserve">  </w:t>
            </w:r>
          </w:p>
        </w:tc>
        <w:tc>
          <w:tcPr>
            <w:tcW w:w="900" w:type="dxa"/>
            <w:noWrap w:val="0"/>
            <w:tcMar>
              <w:left w:w="57" w:type="dxa"/>
              <w:right w:w="57" w:type="dxa"/>
            </w:tcMar>
            <w:vAlign w:val="center"/>
          </w:tcPr>
          <w:p>
            <w:pPr>
              <w:spacing w:after="0"/>
              <w:jc w:val="both"/>
              <w:rPr>
                <w:rFonts w:hint="default" w:eastAsia="微软雅黑"/>
                <w:color w:val="000000"/>
                <w:kern w:val="2"/>
                <w:sz w:val="15"/>
                <w:szCs w:val="15"/>
                <w:lang w:val="en-US" w:eastAsia="zh-CN"/>
              </w:rPr>
            </w:pPr>
          </w:p>
        </w:tc>
        <w:tc>
          <w:tcPr>
            <w:tcW w:w="900" w:type="dxa"/>
            <w:noWrap w:val="0"/>
            <w:tcMar>
              <w:left w:w="57" w:type="dxa"/>
              <w:right w:w="57" w:type="dxa"/>
            </w:tcMar>
            <w:vAlign w:val="center"/>
          </w:tcPr>
          <w:p>
            <w:pPr>
              <w:spacing w:after="0"/>
              <w:jc w:val="both"/>
              <w:rPr>
                <w:rFonts w:hint="default" w:eastAsia="微软雅黑"/>
                <w:color w:val="000000"/>
                <w:kern w:val="2"/>
                <w:sz w:val="15"/>
                <w:szCs w:val="15"/>
                <w:lang w:val="en-US" w:eastAsia="zh-CN"/>
              </w:rPr>
            </w:pPr>
          </w:p>
        </w:tc>
        <w:tc>
          <w:tcPr>
            <w:tcW w:w="1080" w:type="dxa"/>
            <w:gridSpan w:val="2"/>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rFonts w:hint="default" w:eastAsia="微软雅黑"/>
                <w:color w:val="000000"/>
                <w:kern w:val="2"/>
                <w:sz w:val="15"/>
                <w:szCs w:val="15"/>
                <w:lang w:val="en-US" w:eastAsia="zh-CN"/>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textAlignment w:val="center"/>
              <w:rPr>
                <w:color w:val="000000"/>
                <w:kern w:val="2"/>
                <w:sz w:val="15"/>
                <w:szCs w:val="15"/>
              </w:rPr>
            </w:pPr>
          </w:p>
        </w:tc>
        <w:tc>
          <w:tcPr>
            <w:tcW w:w="794" w:type="dxa"/>
            <w:noWrap w:val="0"/>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无组织VOCs</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eastAsia"/>
                <w:color w:val="000000"/>
                <w:kern w:val="2"/>
                <w:sz w:val="15"/>
                <w:szCs w:val="15"/>
              </w:rPr>
            </w:pPr>
          </w:p>
        </w:tc>
        <w:tc>
          <w:tcPr>
            <w:tcW w:w="900" w:type="dxa"/>
            <w:noWrap w:val="0"/>
            <w:tcMar>
              <w:left w:w="57" w:type="dxa"/>
              <w:right w:w="57" w:type="dxa"/>
            </w:tcMar>
            <w:vAlign w:val="center"/>
          </w:tcPr>
          <w:p>
            <w:pPr>
              <w:spacing w:after="0"/>
              <w:jc w:val="both"/>
              <w:rPr>
                <w:rFonts w:hint="eastAsia"/>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无组织颗粒物</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ind w:firstLine="600" w:firstLineChars="400"/>
              <w:jc w:val="both"/>
              <w:rPr>
                <w:rFonts w:hint="default" w:eastAsia="微软雅黑"/>
                <w:color w:val="000000"/>
                <w:kern w:val="2"/>
                <w:sz w:val="15"/>
                <w:szCs w:val="15"/>
                <w:lang w:val="en-US" w:eastAsia="zh-CN"/>
              </w:rPr>
            </w:pPr>
          </w:p>
        </w:tc>
        <w:tc>
          <w:tcPr>
            <w:tcW w:w="900" w:type="dxa"/>
            <w:noWrap w:val="0"/>
            <w:tcMar>
              <w:left w:w="57" w:type="dxa"/>
              <w:right w:w="57" w:type="dxa"/>
            </w:tcMar>
            <w:vAlign w:val="center"/>
          </w:tcPr>
          <w:p>
            <w:pPr>
              <w:spacing w:after="0"/>
              <w:jc w:val="center"/>
              <w:rPr>
                <w:rFonts w:hint="eastAsia" w:eastAsia="微软雅黑"/>
                <w:color w:val="000000"/>
                <w:kern w:val="2"/>
                <w:sz w:val="15"/>
                <w:szCs w:val="15"/>
                <w:lang w:val="en-US" w:eastAsia="zh-CN"/>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textAlignment w:val="center"/>
              <w:rPr>
                <w:color w:val="000000"/>
                <w:kern w:val="2"/>
                <w:sz w:val="15"/>
                <w:szCs w:val="15"/>
              </w:rPr>
            </w:pPr>
          </w:p>
        </w:tc>
        <w:tc>
          <w:tcPr>
            <w:tcW w:w="794" w:type="dxa"/>
            <w:noWrap w:val="0"/>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eastAsia="黑体"/>
                <w:b/>
                <w:color w:val="000000"/>
                <w:kern w:val="2"/>
                <w:sz w:val="15"/>
                <w:szCs w:val="15"/>
              </w:rPr>
            </w:pPr>
            <w:r>
              <w:rPr>
                <w:b/>
                <w:color w:val="000000"/>
                <w:kern w:val="2"/>
                <w:sz w:val="15"/>
                <w:szCs w:val="15"/>
              </w:rPr>
              <w:t>工业固体废物</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261" w:type="dxa"/>
            <w:vMerge w:val="restart"/>
            <w:noWrap w:val="0"/>
            <w:tcMar>
              <w:left w:w="57" w:type="dxa"/>
              <w:right w:w="57" w:type="dxa"/>
            </w:tcMar>
            <w:vAlign w:val="top"/>
          </w:tcPr>
          <w:p>
            <w:pPr>
              <w:spacing w:after="0" w:line="240" w:lineRule="atLeast"/>
              <w:jc w:val="both"/>
              <w:rPr>
                <w:color w:val="000000"/>
                <w:kern w:val="2"/>
                <w:sz w:val="15"/>
                <w:szCs w:val="15"/>
              </w:rPr>
            </w:pPr>
            <w:r>
              <w:rPr>
                <w:b/>
                <w:color w:val="000000"/>
                <w:kern w:val="2"/>
                <w:sz w:val="15"/>
                <w:szCs w:val="15"/>
              </w:rPr>
              <w:t>与项目有关的其</w:t>
            </w:r>
            <w:r>
              <w:rPr>
                <w:rFonts w:hint="eastAsia"/>
                <w:b/>
                <w:color w:val="000000"/>
                <w:kern w:val="2"/>
                <w:sz w:val="15"/>
                <w:szCs w:val="15"/>
              </w:rPr>
              <w:t>他</w:t>
            </w:r>
            <w:r>
              <w:rPr>
                <w:b/>
                <w:color w:val="000000"/>
                <w:kern w:val="2"/>
                <w:sz w:val="15"/>
                <w:szCs w:val="15"/>
              </w:rPr>
              <w:t>特征污染物</w:t>
            </w:r>
          </w:p>
        </w:tc>
        <w:tc>
          <w:tcPr>
            <w:tcW w:w="535" w:type="dxa"/>
            <w:noWrap w:val="0"/>
            <w:tcMar>
              <w:left w:w="57" w:type="dxa"/>
              <w:right w:w="57" w:type="dxa"/>
            </w:tcMar>
            <w:vAlign w:val="center"/>
          </w:tcPr>
          <w:p>
            <w:pPr>
              <w:spacing w:after="0"/>
              <w:rPr>
                <w:rFonts w:hint="eastAsia"/>
                <w:color w:val="000000"/>
                <w:kern w:val="2"/>
                <w:sz w:val="15"/>
                <w:szCs w:val="15"/>
              </w:rPr>
            </w:pP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eastAsia"/>
                <w:color w:val="000000"/>
                <w:kern w:val="2"/>
                <w:sz w:val="15"/>
                <w:szCs w:val="15"/>
              </w:rPr>
            </w:pPr>
          </w:p>
        </w:tc>
        <w:tc>
          <w:tcPr>
            <w:tcW w:w="900" w:type="dxa"/>
            <w:noWrap w:val="0"/>
            <w:tcMar>
              <w:left w:w="57" w:type="dxa"/>
              <w:right w:w="57" w:type="dxa"/>
            </w:tcMar>
            <w:vAlign w:val="center"/>
          </w:tcPr>
          <w:p>
            <w:pPr>
              <w:spacing w:after="0"/>
              <w:jc w:val="center"/>
              <w:rPr>
                <w:rFonts w:hint="eastAsia"/>
                <w:color w:val="000000"/>
                <w:kern w:val="2"/>
                <w:sz w:val="15"/>
                <w:szCs w:val="15"/>
              </w:rPr>
            </w:pPr>
          </w:p>
        </w:tc>
        <w:tc>
          <w:tcPr>
            <w:tcW w:w="900" w:type="dxa"/>
            <w:noWrap w:val="0"/>
            <w:tcMar>
              <w:left w:w="57" w:type="dxa"/>
              <w:right w:w="57" w:type="dxa"/>
            </w:tcMar>
            <w:vAlign w:val="center"/>
          </w:tcPr>
          <w:p>
            <w:pPr>
              <w:spacing w:after="0"/>
              <w:jc w:val="center"/>
              <w:rPr>
                <w:rFonts w:hint="eastAsia"/>
                <w:color w:val="000000"/>
                <w:kern w:val="2"/>
                <w:sz w:val="15"/>
                <w:szCs w:val="15"/>
              </w:rPr>
            </w:pPr>
          </w:p>
        </w:tc>
        <w:tc>
          <w:tcPr>
            <w:tcW w:w="1080" w:type="dxa"/>
            <w:gridSpan w:val="2"/>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261" w:type="dxa"/>
            <w:vMerge w:val="continue"/>
            <w:noWrap w:val="0"/>
            <w:tcMar>
              <w:left w:w="57" w:type="dxa"/>
              <w:right w:w="57" w:type="dxa"/>
            </w:tcMar>
            <w:vAlign w:val="top"/>
          </w:tcPr>
          <w:p>
            <w:pPr>
              <w:spacing w:after="0"/>
              <w:rPr>
                <w:b/>
                <w:color w:val="000000"/>
                <w:kern w:val="2"/>
                <w:sz w:val="15"/>
                <w:szCs w:val="15"/>
              </w:rPr>
            </w:pPr>
          </w:p>
        </w:tc>
        <w:tc>
          <w:tcPr>
            <w:tcW w:w="535" w:type="dxa"/>
            <w:noWrap w:val="0"/>
            <w:tcMar>
              <w:left w:w="57" w:type="dxa"/>
              <w:right w:w="57" w:type="dxa"/>
            </w:tcMar>
            <w:vAlign w:val="center"/>
          </w:tcPr>
          <w:p>
            <w:pPr>
              <w:spacing w:after="0"/>
              <w:rPr>
                <w:color w:val="000000"/>
                <w:kern w:val="2"/>
                <w:sz w:val="15"/>
                <w:szCs w:val="15"/>
              </w:rPr>
            </w:pP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261" w:type="dxa"/>
            <w:vMerge w:val="continue"/>
            <w:noWrap w:val="0"/>
            <w:tcMar>
              <w:left w:w="57" w:type="dxa"/>
              <w:right w:w="57" w:type="dxa"/>
            </w:tcMar>
            <w:vAlign w:val="top"/>
          </w:tcPr>
          <w:p>
            <w:pPr>
              <w:spacing w:after="0"/>
              <w:rPr>
                <w:b/>
                <w:color w:val="000000"/>
                <w:kern w:val="2"/>
                <w:sz w:val="15"/>
                <w:szCs w:val="15"/>
              </w:rPr>
            </w:pPr>
          </w:p>
        </w:tc>
        <w:tc>
          <w:tcPr>
            <w:tcW w:w="535" w:type="dxa"/>
            <w:noWrap w:val="0"/>
            <w:tcMar>
              <w:left w:w="57" w:type="dxa"/>
              <w:right w:w="57" w:type="dxa"/>
            </w:tcMar>
            <w:vAlign w:val="center"/>
          </w:tcPr>
          <w:p>
            <w:pPr>
              <w:spacing w:after="0"/>
              <w:rPr>
                <w:color w:val="000000"/>
                <w:kern w:val="2"/>
                <w:sz w:val="15"/>
                <w:szCs w:val="15"/>
              </w:rPr>
            </w:pPr>
          </w:p>
        </w:tc>
        <w:tc>
          <w:tcPr>
            <w:tcW w:w="828" w:type="dxa"/>
            <w:noWrap w:val="0"/>
            <w:tcMar>
              <w:left w:w="57" w:type="dxa"/>
              <w:right w:w="57" w:type="dxa"/>
            </w:tcMar>
            <w:vAlign w:val="top"/>
          </w:tcPr>
          <w:p>
            <w:pPr>
              <w:spacing w:after="0"/>
              <w:jc w:val="center"/>
              <w:rPr>
                <w:color w:val="000000"/>
                <w:kern w:val="2"/>
                <w:sz w:val="15"/>
                <w:szCs w:val="15"/>
              </w:rPr>
            </w:pPr>
          </w:p>
        </w:tc>
        <w:tc>
          <w:tcPr>
            <w:tcW w:w="1337" w:type="dxa"/>
            <w:noWrap w:val="0"/>
            <w:tcMar>
              <w:left w:w="57" w:type="dxa"/>
              <w:right w:w="57" w:type="dxa"/>
            </w:tcMar>
            <w:vAlign w:val="top"/>
          </w:tcPr>
          <w:p>
            <w:pPr>
              <w:spacing w:after="0"/>
              <w:jc w:val="center"/>
              <w:rPr>
                <w:color w:val="000000"/>
                <w:kern w:val="2"/>
                <w:sz w:val="15"/>
                <w:szCs w:val="15"/>
              </w:rPr>
            </w:pPr>
          </w:p>
        </w:tc>
        <w:tc>
          <w:tcPr>
            <w:tcW w:w="900" w:type="dxa"/>
            <w:noWrap w:val="0"/>
            <w:tcMar>
              <w:left w:w="57" w:type="dxa"/>
              <w:right w:w="57" w:type="dxa"/>
            </w:tcMar>
            <w:vAlign w:val="top"/>
          </w:tcPr>
          <w:p>
            <w:pPr>
              <w:spacing w:after="0"/>
              <w:jc w:val="center"/>
              <w:rPr>
                <w:color w:val="000000"/>
                <w:kern w:val="2"/>
                <w:sz w:val="15"/>
                <w:szCs w:val="15"/>
              </w:rPr>
            </w:pPr>
          </w:p>
        </w:tc>
        <w:tc>
          <w:tcPr>
            <w:tcW w:w="900" w:type="dxa"/>
            <w:noWrap w:val="0"/>
            <w:tcMar>
              <w:left w:w="57" w:type="dxa"/>
              <w:right w:w="57" w:type="dxa"/>
            </w:tcMar>
            <w:vAlign w:val="top"/>
          </w:tcPr>
          <w:p>
            <w:pPr>
              <w:spacing w:after="0"/>
              <w:jc w:val="center"/>
              <w:rPr>
                <w:color w:val="000000"/>
                <w:kern w:val="2"/>
                <w:sz w:val="15"/>
                <w:szCs w:val="15"/>
              </w:rPr>
            </w:pPr>
          </w:p>
        </w:tc>
        <w:tc>
          <w:tcPr>
            <w:tcW w:w="1080" w:type="dxa"/>
            <w:gridSpan w:val="2"/>
            <w:noWrap w:val="0"/>
            <w:tcMar>
              <w:left w:w="57" w:type="dxa"/>
              <w:right w:w="57" w:type="dxa"/>
            </w:tcMar>
            <w:vAlign w:val="top"/>
          </w:tcPr>
          <w:p>
            <w:pPr>
              <w:spacing w:after="0"/>
              <w:jc w:val="center"/>
              <w:rPr>
                <w:color w:val="000000"/>
                <w:kern w:val="2"/>
                <w:sz w:val="15"/>
                <w:szCs w:val="15"/>
              </w:rPr>
            </w:pPr>
          </w:p>
        </w:tc>
        <w:tc>
          <w:tcPr>
            <w:tcW w:w="1080" w:type="dxa"/>
            <w:noWrap w:val="0"/>
            <w:tcMar>
              <w:left w:w="57" w:type="dxa"/>
              <w:right w:w="57" w:type="dxa"/>
            </w:tcMar>
            <w:vAlign w:val="top"/>
          </w:tcPr>
          <w:p>
            <w:pPr>
              <w:spacing w:after="0"/>
              <w:jc w:val="center"/>
              <w:rPr>
                <w:color w:val="000000"/>
                <w:kern w:val="2"/>
                <w:sz w:val="15"/>
                <w:szCs w:val="15"/>
              </w:rPr>
            </w:pPr>
          </w:p>
        </w:tc>
        <w:tc>
          <w:tcPr>
            <w:tcW w:w="1080" w:type="dxa"/>
            <w:noWrap w:val="0"/>
            <w:tcMar>
              <w:left w:w="57" w:type="dxa"/>
              <w:right w:w="57" w:type="dxa"/>
            </w:tcMar>
            <w:vAlign w:val="top"/>
          </w:tcPr>
          <w:p>
            <w:pPr>
              <w:spacing w:after="0"/>
              <w:jc w:val="center"/>
              <w:rPr>
                <w:color w:val="000000"/>
                <w:kern w:val="2"/>
                <w:sz w:val="15"/>
                <w:szCs w:val="15"/>
              </w:rPr>
            </w:pPr>
          </w:p>
        </w:tc>
        <w:tc>
          <w:tcPr>
            <w:tcW w:w="1980" w:type="dxa"/>
            <w:noWrap w:val="0"/>
            <w:tcMar>
              <w:left w:w="57" w:type="dxa"/>
              <w:right w:w="57" w:type="dxa"/>
            </w:tcMar>
            <w:vAlign w:val="top"/>
          </w:tcPr>
          <w:p>
            <w:pPr>
              <w:spacing w:after="0"/>
              <w:jc w:val="center"/>
              <w:rPr>
                <w:color w:val="000000"/>
                <w:kern w:val="2"/>
                <w:sz w:val="15"/>
                <w:szCs w:val="15"/>
              </w:rPr>
            </w:pPr>
          </w:p>
        </w:tc>
        <w:tc>
          <w:tcPr>
            <w:tcW w:w="1157" w:type="dxa"/>
            <w:noWrap w:val="0"/>
            <w:tcMar>
              <w:left w:w="57" w:type="dxa"/>
              <w:right w:w="57" w:type="dxa"/>
            </w:tcMar>
            <w:vAlign w:val="top"/>
          </w:tcPr>
          <w:p>
            <w:pPr>
              <w:spacing w:after="0"/>
              <w:jc w:val="center"/>
              <w:rPr>
                <w:color w:val="000000"/>
                <w:kern w:val="2"/>
                <w:sz w:val="15"/>
                <w:szCs w:val="15"/>
              </w:rPr>
            </w:pPr>
          </w:p>
        </w:tc>
        <w:tc>
          <w:tcPr>
            <w:tcW w:w="1244" w:type="dxa"/>
            <w:gridSpan w:val="2"/>
            <w:noWrap w:val="0"/>
            <w:tcMar>
              <w:left w:w="57" w:type="dxa"/>
              <w:right w:w="57" w:type="dxa"/>
            </w:tcMar>
            <w:vAlign w:val="top"/>
          </w:tcPr>
          <w:p>
            <w:pPr>
              <w:spacing w:after="0"/>
              <w:jc w:val="center"/>
              <w:rPr>
                <w:color w:val="000000"/>
                <w:kern w:val="2"/>
                <w:sz w:val="15"/>
                <w:szCs w:val="15"/>
              </w:rPr>
            </w:pPr>
          </w:p>
        </w:tc>
        <w:tc>
          <w:tcPr>
            <w:tcW w:w="1102" w:type="dxa"/>
            <w:gridSpan w:val="2"/>
            <w:noWrap w:val="0"/>
            <w:tcMar>
              <w:left w:w="57" w:type="dxa"/>
              <w:right w:w="57" w:type="dxa"/>
            </w:tcMar>
            <w:vAlign w:val="top"/>
          </w:tcPr>
          <w:p>
            <w:pPr>
              <w:spacing w:after="0"/>
              <w:jc w:val="center"/>
              <w:rPr>
                <w:color w:val="000000"/>
                <w:kern w:val="2"/>
                <w:sz w:val="15"/>
                <w:szCs w:val="15"/>
              </w:rPr>
            </w:pPr>
          </w:p>
        </w:tc>
        <w:tc>
          <w:tcPr>
            <w:tcW w:w="794" w:type="dxa"/>
            <w:noWrap w:val="0"/>
            <w:tcMar>
              <w:left w:w="57" w:type="dxa"/>
              <w:right w:w="57" w:type="dxa"/>
            </w:tcMar>
            <w:vAlign w:val="top"/>
          </w:tcPr>
          <w:p>
            <w:pPr>
              <w:spacing w:after="0"/>
              <w:jc w:val="center"/>
              <w:rPr>
                <w:color w:val="000000"/>
                <w:kern w:val="2"/>
                <w:sz w:val="15"/>
                <w:szCs w:val="15"/>
              </w:rPr>
            </w:pPr>
          </w:p>
        </w:tc>
      </w:tr>
    </w:tbl>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sectPr>
          <w:pgSz w:w="16783" w:h="11850" w:orient="landscape"/>
          <w:pgMar w:top="1800" w:right="1440" w:bottom="1800" w:left="1440" w:header="851" w:footer="992" w:gutter="0"/>
          <w:pgNumType w:fmt="numberInDash"/>
          <w:docGrid w:type="lines" w:linePitch="312" w:charSpace="0"/>
        </w:sectPr>
      </w:pPr>
      <w:r>
        <w:rPr>
          <w:rFonts w:hint="default" w:ascii="宋体" w:hAnsi="宋体" w:eastAsia="宋体"/>
          <w:color w:val="auto"/>
          <w:position w:val="0"/>
          <w:sz w:val="24"/>
          <w:szCs w:val="24"/>
        </w:rPr>
        <w:t>注：1、排放增减量：(+)表示增加，(-)表示减少。 2、(12)=(6)-(8)-(11)，(9)=(4)-(5)-(8)-(11)+(1)。 3、计量单位：废水排放量—万吨/年；废气排放量——万标立方米/年；工业固体废物排放量——万吨/年；水污染物排放浓度——毫克/升；大气污染物排放浓度——毫克/立方米；水污染物排放量——吨/年；大气污染物排放量——吨/年。</w:t>
      </w:r>
    </w:p>
    <w:p>
      <w:pPr>
        <w:pStyle w:val="21"/>
        <w:numPr>
          <w:ilvl w:val="0"/>
          <w:numId w:val="0"/>
        </w:numPr>
        <w:wordWrap w:val="0"/>
        <w:spacing w:before="0" w:after="0" w:line="240" w:lineRule="auto"/>
        <w:ind w:left="0" w:firstLine="0"/>
        <w:jc w:val="both"/>
        <w:rPr>
          <w:rFonts w:hint="eastAsia" w:ascii="仿宋" w:hAnsi="仿宋" w:eastAsia="仿宋"/>
          <w:color w:val="000000"/>
          <w:position w:val="0"/>
          <w:sz w:val="28"/>
          <w:szCs w:val="28"/>
          <w:lang w:eastAsia="zh-CN"/>
        </w:rPr>
      </w:pPr>
      <w:r>
        <w:rPr>
          <w:rFonts w:hint="eastAsia" w:ascii="Times New Roman" w:hAnsi="宋体" w:eastAsia="宋体" w:cs="宋体"/>
          <w:b w:val="0"/>
          <w:color w:val="auto"/>
          <w:w w:val="100"/>
          <w:position w:val="0"/>
          <w:sz w:val="24"/>
          <w:szCs w:val="24"/>
          <w:shd w:val="clear"/>
          <w:lang w:val="zh-CN" w:eastAsia="zh-CN"/>
        </w:rPr>
        <w:drawing>
          <wp:inline distT="0" distB="0" distL="114300" distR="114300">
            <wp:extent cx="5160645" cy="7889240"/>
            <wp:effectExtent l="0" t="0" r="1905" b="16510"/>
            <wp:docPr id="16" name="图片 16" descr="批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批复文件1"/>
                    <pic:cNvPicPr>
                      <a:picLocks noChangeAspect="1"/>
                    </pic:cNvPicPr>
                  </pic:nvPicPr>
                  <pic:blipFill>
                    <a:blip r:embed="rId13"/>
                    <a:srcRect t="7380" b="12684"/>
                    <a:stretch>
                      <a:fillRect/>
                    </a:stretch>
                  </pic:blipFill>
                  <pic:spPr>
                    <a:xfrm>
                      <a:off x="0" y="0"/>
                      <a:ext cx="5160645" cy="7889240"/>
                    </a:xfrm>
                    <a:prstGeom prst="rect">
                      <a:avLst/>
                    </a:prstGeom>
                  </pic:spPr>
                </pic:pic>
              </a:graphicData>
            </a:graphic>
          </wp:inline>
        </w:drawing>
      </w:r>
      <w:r>
        <w:rPr>
          <w:rFonts w:hint="eastAsia" w:ascii="Times New Roman" w:hAnsi="宋体" w:eastAsia="宋体" w:cs="宋体"/>
          <w:b w:val="0"/>
          <w:color w:val="auto"/>
          <w:w w:val="100"/>
          <w:position w:val="0"/>
          <w:sz w:val="24"/>
          <w:szCs w:val="24"/>
          <w:shd w:val="clear"/>
          <w:lang w:val="zh-CN" w:eastAsia="zh-CN"/>
        </w:rPr>
        <w:drawing>
          <wp:inline distT="0" distB="0" distL="114300" distR="114300">
            <wp:extent cx="5093335" cy="8232140"/>
            <wp:effectExtent l="0" t="0" r="12065" b="16510"/>
            <wp:docPr id="17" name="图片 17" descr="批复文件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批复文件1 (2)"/>
                    <pic:cNvPicPr>
                      <a:picLocks noChangeAspect="1"/>
                    </pic:cNvPicPr>
                  </pic:nvPicPr>
                  <pic:blipFill>
                    <a:blip r:embed="rId14"/>
                    <a:srcRect t="6995" b="13236"/>
                    <a:stretch>
                      <a:fillRect/>
                    </a:stretch>
                  </pic:blipFill>
                  <pic:spPr>
                    <a:xfrm>
                      <a:off x="0" y="0"/>
                      <a:ext cx="5093335" cy="8232140"/>
                    </a:xfrm>
                    <a:prstGeom prst="rect">
                      <a:avLst/>
                    </a:prstGeom>
                  </pic:spPr>
                </pic:pic>
              </a:graphicData>
            </a:graphic>
          </wp:inline>
        </w:drawing>
      </w:r>
      <w:r>
        <w:rPr>
          <w:rFonts w:hint="eastAsia" w:ascii="仿宋" w:hAnsi="仿宋" w:eastAsia="仿宋"/>
          <w:color w:val="000000"/>
          <w:position w:val="0"/>
          <w:sz w:val="28"/>
          <w:szCs w:val="28"/>
          <w:lang w:eastAsia="zh-CN"/>
        </w:rPr>
        <w:drawing>
          <wp:inline distT="0" distB="0" distL="114300" distR="114300">
            <wp:extent cx="5266690" cy="7966075"/>
            <wp:effectExtent l="0" t="0" r="10160" b="15875"/>
            <wp:docPr id="20" name="图片 20" descr="be475d264ce3b7bfbcba44918cb9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e475d264ce3b7bfbcba44918cb9da1"/>
                    <pic:cNvPicPr>
                      <a:picLocks noChangeAspect="1"/>
                    </pic:cNvPicPr>
                  </pic:nvPicPr>
                  <pic:blipFill>
                    <a:blip r:embed="rId16"/>
                    <a:stretch>
                      <a:fillRect/>
                    </a:stretch>
                  </pic:blipFill>
                  <pic:spPr>
                    <a:xfrm>
                      <a:off x="0" y="0"/>
                      <a:ext cx="5266690" cy="7966075"/>
                    </a:xfrm>
                    <a:prstGeom prst="rect">
                      <a:avLst/>
                    </a:prstGeom>
                  </pic:spPr>
                </pic:pic>
              </a:graphicData>
            </a:graphic>
          </wp:inline>
        </w:drawing>
      </w:r>
      <w:r>
        <w:rPr>
          <w:rFonts w:hint="eastAsia" w:ascii="仿宋" w:hAnsi="仿宋" w:eastAsia="仿宋"/>
          <w:color w:val="000000"/>
          <w:position w:val="0"/>
          <w:sz w:val="28"/>
          <w:szCs w:val="28"/>
          <w:lang w:eastAsia="zh-CN"/>
        </w:rPr>
        <w:drawing>
          <wp:inline distT="0" distB="0" distL="114300" distR="114300">
            <wp:extent cx="5269865" cy="7979410"/>
            <wp:effectExtent l="0" t="0" r="6985" b="2540"/>
            <wp:docPr id="21" name="图片 21" descr="be386dffe131769917903428ad9f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e386dffe131769917903428ad9fc61"/>
                    <pic:cNvPicPr>
                      <a:picLocks noChangeAspect="1"/>
                    </pic:cNvPicPr>
                  </pic:nvPicPr>
                  <pic:blipFill>
                    <a:blip r:embed="rId17"/>
                    <a:srcRect b="3122"/>
                    <a:stretch>
                      <a:fillRect/>
                    </a:stretch>
                  </pic:blipFill>
                  <pic:spPr>
                    <a:xfrm>
                      <a:off x="0" y="0"/>
                      <a:ext cx="5269865" cy="7979410"/>
                    </a:xfrm>
                    <a:prstGeom prst="rect">
                      <a:avLst/>
                    </a:prstGeom>
                  </pic:spPr>
                </pic:pic>
              </a:graphicData>
            </a:graphic>
          </wp:inline>
        </w:drawing>
      </w:r>
      <w:r>
        <w:rPr>
          <w:rFonts w:hint="eastAsia" w:ascii="仿宋" w:hAnsi="仿宋" w:eastAsia="仿宋"/>
          <w:color w:val="000000"/>
          <w:position w:val="0"/>
          <w:sz w:val="28"/>
          <w:szCs w:val="28"/>
          <w:lang w:eastAsia="zh-CN"/>
        </w:rPr>
        <w:drawing>
          <wp:inline distT="0" distB="0" distL="114300" distR="114300">
            <wp:extent cx="5274310" cy="7472045"/>
            <wp:effectExtent l="0" t="0" r="2540" b="14605"/>
            <wp:docPr id="22" name="图片 22" descr="bf2659ffb0443d5d5e05fc3adaae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f2659ffb0443d5d5e05fc3adaaedb8"/>
                    <pic:cNvPicPr>
                      <a:picLocks noChangeAspect="1"/>
                    </pic:cNvPicPr>
                  </pic:nvPicPr>
                  <pic:blipFill>
                    <a:blip r:embed="rId18"/>
                    <a:stretch>
                      <a:fillRect/>
                    </a:stretch>
                  </pic:blipFill>
                  <pic:spPr>
                    <a:xfrm>
                      <a:off x="0" y="0"/>
                      <a:ext cx="5274310" cy="7472045"/>
                    </a:xfrm>
                    <a:prstGeom prst="rect">
                      <a:avLst/>
                    </a:prstGeom>
                  </pic:spPr>
                </pic:pic>
              </a:graphicData>
            </a:graphic>
          </wp:inline>
        </w:drawing>
      </w:r>
      <w:r>
        <w:rPr>
          <w:rFonts w:hint="eastAsia" w:ascii="仿宋" w:hAnsi="仿宋" w:eastAsia="仿宋"/>
          <w:color w:val="000000"/>
          <w:position w:val="0"/>
          <w:sz w:val="28"/>
          <w:szCs w:val="28"/>
          <w:lang w:eastAsia="zh-CN"/>
        </w:rPr>
        <w:drawing>
          <wp:inline distT="0" distB="0" distL="114300" distR="114300">
            <wp:extent cx="5266690" cy="3756025"/>
            <wp:effectExtent l="0" t="0" r="10160" b="15875"/>
            <wp:docPr id="23" name="图片 23" descr="c350ae9e3cd6dd82230a4357a6b8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350ae9e3cd6dd82230a4357a6b819b"/>
                    <pic:cNvPicPr>
                      <a:picLocks noChangeAspect="1"/>
                    </pic:cNvPicPr>
                  </pic:nvPicPr>
                  <pic:blipFill>
                    <a:blip r:embed="rId19"/>
                    <a:stretch>
                      <a:fillRect/>
                    </a:stretch>
                  </pic:blipFill>
                  <pic:spPr>
                    <a:xfrm>
                      <a:off x="0" y="0"/>
                      <a:ext cx="5266690" cy="3756025"/>
                    </a:xfrm>
                    <a:prstGeom prst="rect">
                      <a:avLst/>
                    </a:prstGeom>
                  </pic:spPr>
                </pic:pic>
              </a:graphicData>
            </a:graphic>
          </wp:inline>
        </w:drawing>
      </w:r>
    </w:p>
    <w:sectPr>
      <w:headerReference r:id="rId7" w:type="default"/>
      <w:footerReference r:id="rId8" w:type="default"/>
      <w:pgSz w:w="11906" w:h="16838"/>
      <w:pgMar w:top="1440" w:right="1800" w:bottom="1440" w:left="1800" w:header="851" w:footer="992" w:gutter="0"/>
      <w:pgNumType w:fmt="numberInDash"/>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rial Narrow">
    <w:altName w:val="Arial"/>
    <w:panose1 w:val="020B0606020202030204"/>
    <w:charset w:val="00"/>
    <w:family w:val="auto"/>
    <w:pitch w:val="default"/>
    <w:sig w:usb0="00000000" w:usb1="00000000" w:usb2="00000000" w:usb3="00000000" w:csb0="2000009F" w:csb1="DFD70000"/>
  </w:font>
  <w:font w:name="Century Schoolbook">
    <w:altName w:val="Segoe Print"/>
    <w:panose1 w:val="02040604050505020304"/>
    <w:charset w:val="00"/>
    <w:family w:val="auto"/>
    <w:pitch w:val="default"/>
    <w:sig w:usb0="00000000" w:usb1="00000000" w:usb2="00000000" w:usb3="00000000" w:csb0="2000009F" w:csb1="DFD70000"/>
  </w:font>
  <w:font w:name="Arial Unicode MS">
    <w:altName w:val="宋体"/>
    <w:panose1 w:val="020B0604020202020204"/>
    <w:charset w:val="86"/>
    <w:family w:val="auto"/>
    <w:pitch w:val="default"/>
    <w:sig w:usb0="00000000" w:usb1="00000000" w:usb2="0000003F" w:usb3="00000000" w:csb0="603F01FF" w:csb1="FFFF0000"/>
  </w:font>
  <w:font w:name="Book Antiqua">
    <w:altName w:val="Segoe Print"/>
    <w:panose1 w:val="02040602050305030304"/>
    <w:charset w:val="00"/>
    <w:family w:val="auto"/>
    <w:pitch w:val="default"/>
    <w:sig w:usb0="00000000" w:usb1="00000000" w:usb2="00000000" w:usb3="00000000" w:csb0="2000009F" w:csb1="DFD70000"/>
  </w:font>
  <w:font w:name="SSJ-PK74820002705-Identity-H">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numPr>
        <w:ilvl w:val="0"/>
        <w:numId w:val="0"/>
      </w:numPr>
      <w:autoSpaceDE/>
      <w:autoSpaceDN/>
      <w:snapToGrid w:val="0"/>
      <w:spacing w:before="0" w:after="200" w:line="240" w:lineRule="auto"/>
      <w:ind w:right="0" w:firstLine="0"/>
      <w:jc w:val="left"/>
      <w:rPr>
        <w:rFonts w:hint="default" w:ascii="Tahoma" w:hAnsi="Tahoma" w:eastAsia="Tahoma"/>
        <w:color w:val="auto"/>
        <w:position w:val="0"/>
        <w:sz w:val="18"/>
        <w:szCs w:val="18"/>
      </w:rPr>
    </w:pPr>
    <w:r>
      <w:rPr>
        <w:sz w:val="20"/>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127635" cy="264795"/>
              <wp:effectExtent l="0" t="0" r="0" b="0"/>
              <wp:wrapNone/>
              <wp:docPr id="10" name="文本框 68"/>
              <wp:cNvGraphicFramePr/>
              <a:graphic xmlns:a="http://schemas.openxmlformats.org/drawingml/2006/main">
                <a:graphicData uri="http://schemas.microsoft.com/office/word/2010/wordprocessingShape">
                  <wps:wsp>
                    <wps:cNvSpPr txBox="1"/>
                    <wps:spPr>
                      <a:xfrm>
                        <a:off x="0" y="0"/>
                        <a:ext cx="128270" cy="265430"/>
                      </a:xfrm>
                      <a:prstGeom prst="rect">
                        <a:avLst/>
                      </a:prstGeom>
                      <a:noFill/>
                      <a:ln w="6350" cap="flat">
                        <a:noFill/>
                      </a:ln>
                    </wps:spPr>
                    <wps:style>
                      <a:lnRef idx="0">
                        <a:schemeClr val="accent1"/>
                      </a:lnRef>
                      <a:fillRef idx="0">
                        <a:schemeClr val="accent1"/>
                      </a:fillRef>
                      <a:effectRef idx="0">
                        <a:schemeClr val="accent1"/>
                      </a:effectRef>
                      <a:fontRef idx="minor">
                        <a:schemeClr val="dk1"/>
                      </a:fontRef>
                    </wps:style>
                    <wps:txbx>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III</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68" o:spid="_x0000_s1026" o:spt="202" type="#_x0000_t202" style="position:absolute;left:0pt;margin-top:0pt;height:20.85pt;width:10.05pt;mso-position-horizontal:center;mso-position-horizontal-relative:margin;mso-wrap-style:none;z-index:251625472;mso-width-relative:page;mso-height-relative:page;" filled="f" stroked="f" coordsize="21600,21600" o:gfxdata="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YZxO0QAAAAMBAAAPAAAAAAAA&#10;AAEAIAAAACIAAABkcnMvZG93bnJldi54bWxQSwECFAAUAAAACACHTuJAiyTj9BkCAAASBAAADgAA&#10;AAAAAAABACAAAAAgAQAAZHJzL2Uyb0RvYy54bWxQSwUGAAAAAAYABgBZAQAAqwUAAAAA&#10;">
              <v:fill on="f" focussize="0,0"/>
              <v:stroke on="f" weight="0.5pt"/>
              <v:imagedata o:title=""/>
              <o:lock v:ext="edit" aspectratio="f"/>
              <v:textbox inset="0mm,0mm,0mm,0mm" style="mso-fit-shape-to-text:t;">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III</w:t>
                    </w:r>
                    <w:r>
                      <w:rPr>
                        <w:rFonts w:hint="default" w:ascii="Tahoma" w:hAnsi="Tahoma" w:eastAsia="Tahoma"/>
                        <w:color w:val="auto"/>
                        <w:position w:val="0"/>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numPr>
        <w:ilvl w:val="0"/>
        <w:numId w:val="0"/>
      </w:numPr>
      <w:autoSpaceDE/>
      <w:autoSpaceDN/>
      <w:snapToGrid w:val="0"/>
      <w:spacing w:before="0" w:after="200" w:line="240" w:lineRule="auto"/>
      <w:ind w:right="0" w:firstLine="0"/>
      <w:jc w:val="left"/>
      <w:rPr>
        <w:rFonts w:hint="default" w:ascii="Tahoma" w:hAnsi="Tahoma" w:eastAsia="Tahoma"/>
        <w:color w:val="auto"/>
        <w:position w:val="0"/>
        <w:sz w:val="18"/>
        <w:szCs w:val="18"/>
      </w:rPr>
    </w:pPr>
    <w:r>
      <w:rPr>
        <w:sz w:val="20"/>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111125" cy="264795"/>
              <wp:effectExtent l="0" t="0" r="0" b="0"/>
              <wp:wrapNone/>
              <wp:docPr id="18" name="文本框 69"/>
              <wp:cNvGraphicFramePr/>
              <a:graphic xmlns:a="http://schemas.openxmlformats.org/drawingml/2006/main">
                <a:graphicData uri="http://schemas.microsoft.com/office/word/2010/wordprocessingShape">
                  <wps:wsp>
                    <wps:cNvSpPr txBox="1"/>
                    <wps:spPr>
                      <a:xfrm>
                        <a:off x="0" y="0"/>
                        <a:ext cx="111760" cy="265430"/>
                      </a:xfrm>
                      <a:prstGeom prst="rect">
                        <a:avLst/>
                      </a:prstGeom>
                      <a:noFill/>
                      <a:ln w="6350" cap="flat">
                        <a:noFill/>
                      </a:ln>
                    </wps:spPr>
                    <wps:style>
                      <a:lnRef idx="0">
                        <a:schemeClr val="accent1"/>
                      </a:lnRef>
                      <a:fillRef idx="0">
                        <a:schemeClr val="accent1"/>
                      </a:fillRef>
                      <a:effectRef idx="0">
                        <a:schemeClr val="accent1"/>
                      </a:effectRef>
                      <a:fontRef idx="minor">
                        <a:schemeClr val="dk1"/>
                      </a:fontRef>
                    </wps:style>
                    <wps:txbx>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IV</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69" o:spid="_x0000_s1026" o:spt="202" type="#_x0000_t202" style="position:absolute;left:0pt;margin-top:0pt;height:20.85pt;width:8.75pt;mso-position-horizontal:center;mso-position-horizontal-relative:margin;mso-wrap-style:none;z-index:251625472;mso-width-relative:page;mso-height-relative:page;" filled="f" stroked="f" coordsize="21600,21600" o:gfxdata="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5LcjtIAAAADAQAADwAAAAAA&#10;AAABACAAAAAiAAAAZHJzL2Rvd25yZXYueG1sUEsBAhQAFAAAAAgAh07iQKLtBc0ZAgAAEgQAAA4A&#10;AAAAAAAAAQAgAAAAIQEAAGRycy9lMm9Eb2MueG1sUEsFBgAAAAAGAAYAWQEAAKwFAAAAAA==&#10;">
              <v:fill on="f" focussize="0,0"/>
              <v:stroke on="f" weight="0.5pt"/>
              <v:imagedata o:title=""/>
              <o:lock v:ext="edit" aspectratio="f"/>
              <v:textbox inset="0mm,0mm,0mm,0mm" style="mso-fit-shape-to-text:t;">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IV</w:t>
                    </w:r>
                    <w:r>
                      <w:rPr>
                        <w:rFonts w:hint="default" w:ascii="Tahoma" w:hAnsi="Tahoma" w:eastAsia="Tahoma"/>
                        <w:color w:val="auto"/>
                        <w:position w:val="0"/>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numPr>
        <w:ilvl w:val="0"/>
        <w:numId w:val="0"/>
      </w:numPr>
      <w:autoSpaceDE/>
      <w:autoSpaceDN/>
      <w:snapToGrid w:val="0"/>
      <w:spacing w:before="0" w:after="200" w:line="240" w:lineRule="auto"/>
      <w:ind w:right="0" w:firstLine="0"/>
      <w:jc w:val="left"/>
      <w:rPr>
        <w:rFonts w:hint="default" w:ascii="Times New Roman" w:hAnsi="Times New Roman" w:eastAsia="Times New Roman"/>
        <w:color w:val="auto"/>
        <w:position w:val="0"/>
        <w:sz w:val="36"/>
        <w:szCs w:val="36"/>
      </w:rPr>
    </w:pPr>
    <w:r>
      <w:rPr>
        <w:sz w:val="20"/>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321310" cy="264795"/>
              <wp:effectExtent l="0" t="0" r="0" b="0"/>
              <wp:wrapNone/>
              <wp:docPr id="84" name="文本框 13"/>
              <wp:cNvGraphicFramePr/>
              <a:graphic xmlns:a="http://schemas.openxmlformats.org/drawingml/2006/main">
                <a:graphicData uri="http://schemas.microsoft.com/office/word/2010/wordprocessingShape">
                  <wps:wsp>
                    <wps:cNvSpPr txBox="1"/>
                    <wps:spPr>
                      <a:xfrm>
                        <a:off x="0" y="0"/>
                        <a:ext cx="321945" cy="265430"/>
                      </a:xfrm>
                      <a:prstGeom prst="rect">
                        <a:avLst/>
                      </a:prstGeom>
                      <a:noFill/>
                      <a:ln w="9525" cap="flat">
                        <a:noFill/>
                      </a:ln>
                    </wps:spPr>
                    <wps:txbx>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- 14 -</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ctr" anchorCtr="0" forceAA="0" compatLnSpc="0">
                      <a:spAutoFit/>
                    </wps:bodyPr>
                  </wps:wsp>
                </a:graphicData>
              </a:graphic>
            </wp:anchor>
          </w:drawing>
        </mc:Choice>
        <mc:Fallback>
          <w:pict>
            <v:shape id="文本框 13" o:spid="_x0000_s1026" o:spt="202" type="#_x0000_t202" style="position:absolute;left:0pt;margin-top:0pt;height:20.85pt;width:25.3pt;mso-position-horizontal:center;mso-position-horizontal-relative:margin;mso-wrap-style:none;z-index:251625472;v-text-anchor:middle;mso-width-relative:page;mso-height-relative:page;" filled="f" stroked="f" coordsize="21600,21600" o:gfxdata="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2n49MAAAADAQAA&#10;DwAAAAAAAAABACAAAAAiAAAAZHJzL2Rvd25yZXYueG1sUEsBAhQAFAAAAAgAh07iQL0v7mkeAgAA&#10;FAQAAA4AAAAAAAAAAQAgAAAAIgEAAGRycy9lMm9Eb2MueG1sUEsFBgAAAAAGAAYAWQEAALIFAAAA&#10;AA==&#10;">
              <v:fill on="f" focussize="0,0"/>
              <v:stroke on="f"/>
              <v:imagedata o:title=""/>
              <o:lock v:ext="edit" aspectratio="f"/>
              <v:textbox inset="0mm,0mm,0mm,0mm" style="mso-fit-shape-to-text:t;">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- 14 -</w:t>
                    </w:r>
                    <w:r>
                      <w:rPr>
                        <w:rFonts w:hint="default" w:ascii="Tahoma" w:hAnsi="Tahoma" w:eastAsia="Tahoma"/>
                        <w:color w:val="auto"/>
                        <w:position w:val="0"/>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numPr>
        <w:ilvl w:val="0"/>
        <w:numId w:val="0"/>
      </w:numPr>
      <w:autoSpaceDE/>
      <w:autoSpaceDN/>
      <w:snapToGrid w:val="0"/>
      <w:spacing w:before="0" w:after="200" w:line="240" w:lineRule="auto"/>
      <w:ind w:right="0" w:firstLine="0"/>
      <w:jc w:val="left"/>
      <w:rPr>
        <w:rFonts w:hint="default" w:ascii="Times New Roman" w:hAnsi="Times New Roman" w:eastAsia="Times New Roman"/>
        <w:color w:val="auto"/>
        <w:position w:val="0"/>
        <w:sz w:val="36"/>
        <w:szCs w:val="36"/>
      </w:rPr>
    </w:pPr>
    <w:r>
      <w:rPr>
        <w:sz w:val="20"/>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259080" cy="264795"/>
              <wp:effectExtent l="0" t="0" r="0" b="0"/>
              <wp:wrapNone/>
              <wp:docPr id="136" name="文本框 35"/>
              <wp:cNvGraphicFramePr/>
              <a:graphic xmlns:a="http://schemas.openxmlformats.org/drawingml/2006/main">
                <a:graphicData uri="http://schemas.microsoft.com/office/word/2010/wordprocessingShape">
                  <wps:wsp>
                    <wps:cNvSpPr txBox="1"/>
                    <wps:spPr>
                      <a:xfrm>
                        <a:off x="0" y="0"/>
                        <a:ext cx="259715" cy="265430"/>
                      </a:xfrm>
                      <a:prstGeom prst="rect">
                        <a:avLst/>
                      </a:prstGeom>
                      <a:noFill/>
                      <a:ln w="6350" cap="flat">
                        <a:noFill/>
                      </a:ln>
                    </wps:spPr>
                    <wps:style>
                      <a:lnRef idx="0">
                        <a:schemeClr val="accent1"/>
                      </a:lnRef>
                      <a:fillRef idx="0">
                        <a:schemeClr val="accent1"/>
                      </a:fillRef>
                      <a:effectRef idx="0">
                        <a:schemeClr val="accent1"/>
                      </a:effectRef>
                      <a:fontRef idx="minor">
                        <a:schemeClr val="dk1"/>
                      </a:fontRef>
                    </wps:style>
                    <wps:txbx>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- 6 -</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35" o:spid="_x0000_s1026" o:spt="202" type="#_x0000_t202" style="position:absolute;left:0pt;margin-top:0pt;height:20.85pt;width:20.4pt;mso-position-horizontal:center;mso-position-horizontal-relative:margin;mso-wrap-style:none;z-index:251625472;mso-width-relative:page;mso-height-relative:page;" filled="f" stroked="f" coordsize="21600,21600" o:gfxdata="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N883PQAAAAAwEAAA8AAAAA&#10;AAAAAQAgAAAAIgAAAGRycy9kb3ducmV2LnhtbFBLAQIUABQAAAAIAIdO4kBwqFndHAIAABMEAAAO&#10;AAAAAAAAAAEAIAAAAB8BAABkcnMvZTJvRG9jLnhtbFBLBQYAAAAABgAGAFkBAACtBQAAAAA=&#10;">
              <v:fill on="f" focussize="0,0"/>
              <v:stroke on="f" weight="0.5pt"/>
              <v:imagedata o:title=""/>
              <o:lock v:ext="edit" aspectratio="f"/>
              <v:textbox inset="0mm,0mm,0mm,0mm" style="mso-fit-shape-to-text:t;">
                <w:txbxContent>
                  <w:p>
                    <w:pPr>
                      <w:pStyle w:val="22"/>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- 6 -</w:t>
                    </w:r>
                    <w:r>
                      <w:rPr>
                        <w:rFonts w:hint="default" w:ascii="Tahoma" w:hAnsi="Tahoma" w:eastAsia="Tahoma"/>
                        <w:color w:val="auto"/>
                        <w:position w:val="0"/>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numPr>
        <w:ilvl w:val="0"/>
        <w:numId w:val="0"/>
      </w:numPr>
      <w:tabs>
        <w:tab w:val="center" w:pos="4153"/>
        <w:tab w:val="right" w:pos="8306"/>
      </w:tabs>
      <w:autoSpaceDE/>
      <w:autoSpaceDN/>
      <w:snapToGrid w:val="0"/>
      <w:spacing w:before="0" w:after="200" w:line="240" w:lineRule="auto"/>
      <w:ind w:right="0" w:firstLine="0"/>
      <w:jc w:val="left"/>
      <w:rPr>
        <w:rFonts w:hint="default" w:ascii="Tahoma" w:hAnsi="Times New Roman" w:eastAsia="Times New Roman"/>
        <w:color w:val="auto"/>
        <w:position w:val="0"/>
        <w:sz w:val="21"/>
        <w:szCs w:val="21"/>
      </w:rPr>
    </w:pPr>
    <w:r>
      <w:rPr>
        <w:sz w:val="20"/>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393700" cy="295275"/>
              <wp:effectExtent l="0" t="0" r="0" b="0"/>
              <wp:wrapNone/>
              <wp:docPr id="254" name="矩形 14"/>
              <wp:cNvGraphicFramePr/>
              <a:graphic xmlns:a="http://schemas.openxmlformats.org/drawingml/2006/main">
                <a:graphicData uri="http://schemas.microsoft.com/office/word/2010/wordprocessingShape">
                  <wps:wsp>
                    <wps:cNvSpPr txBox="1"/>
                    <wps:spPr>
                      <a:xfrm>
                        <a:off x="0" y="0"/>
                        <a:ext cx="394335" cy="295910"/>
                      </a:xfrm>
                      <a:prstGeom prst="rect">
                        <a:avLst/>
                      </a:prstGeom>
                      <a:noFill/>
                      <a:ln w="9525" cap="flat">
                        <a:noFill/>
                      </a:ln>
                    </wps:spPr>
                    <wps:txbx>
                      <w:txbxContent>
                        <w:p>
                          <w:pPr>
                            <w:numPr>
                              <w:ilvl w:val="0"/>
                              <w:numId w:val="0"/>
                            </w:numPr>
                            <w:tabs>
                              <w:tab w:val="center" w:pos="4153"/>
                              <w:tab w:val="right" w:pos="8306"/>
                            </w:tabs>
                            <w:autoSpaceDE/>
                            <w:autoSpaceDN/>
                            <w:snapToGrid w:val="0"/>
                            <w:spacing w:before="0" w:after="200" w:line="240" w:lineRule="auto"/>
                            <w:ind w:right="0" w:firstLine="0"/>
                            <w:jc w:val="left"/>
                            <w:rPr>
                              <w:rFonts w:hint="default" w:ascii="Tahoma" w:hAnsi="Times New Roman" w:eastAsia="Times New Roman"/>
                              <w:color w:val="auto"/>
                              <w:position w:val="0"/>
                              <w:sz w:val="18"/>
                              <w:szCs w:val="18"/>
                            </w:rPr>
                          </w:pPr>
                          <w:r>
                            <w:rPr>
                              <w:rFonts w:hint="default" w:ascii="Tahoma" w:hAnsi="Times New Roman" w:eastAsia="Times New Roman"/>
                              <w:color w:val="auto"/>
                              <w:position w:val="0"/>
                              <w:sz w:val="22"/>
                              <w:szCs w:val="22"/>
                            </w:rPr>
                            <w:fldChar w:fldCharType="begin"/>
                          </w:r>
                          <w:r>
                            <w:instrText xml:space="preserve">PAGE  \* MERGEFORMAT</w:instrText>
                          </w:r>
                          <w:r>
                            <w:fldChar w:fldCharType="separate"/>
                          </w:r>
                          <w:r>
                            <w:rPr>
                              <w:rFonts w:hint="default" w:ascii="Tahoma" w:hAnsi="Times New Roman" w:eastAsia="Times New Roman"/>
                              <w:color w:val="auto"/>
                              <w:position w:val="0"/>
                              <w:sz w:val="22"/>
                              <w:szCs w:val="22"/>
                            </w:rPr>
                            <w:t>- 45 -</w:t>
                          </w:r>
                          <w:r>
                            <w:rPr>
                              <w:rFonts w:hint="default" w:ascii="Tahoma" w:hAnsi="Times New Roman" w:eastAsia="Times New Roman"/>
                              <w:color w:val="auto"/>
                              <w:position w:val="0"/>
                              <w:sz w:val="18"/>
                              <w:szCs w:val="18"/>
                            </w:rPr>
                            <w:fldChar w:fldCharType="end"/>
                          </w:r>
                        </w:p>
                      </w:txbxContent>
                    </wps:txbx>
                    <wps:bodyPr rot="0" spcFirstLastPara="0" vertOverflow="overflow" horzOverflow="overflow" vert="horz" wrap="none" lIns="0" tIns="0" rIns="0" bIns="0" numCol="1" spcCol="0" rtlCol="0" fromWordArt="0" anchor="ctr" anchorCtr="0" forceAA="0" upright="1" compatLnSpc="0">
                      <a:spAutoFit/>
                    </wps:bodyPr>
                  </wps:wsp>
                </a:graphicData>
              </a:graphic>
            </wp:anchor>
          </w:drawing>
        </mc:Choice>
        <mc:Fallback>
          <w:pict>
            <v:shape id="矩形 14" o:spid="_x0000_s1026" o:spt="202" type="#_x0000_t202" style="position:absolute;left:0pt;margin-top:0pt;height:23.25pt;width:31pt;mso-position-horizontal:center;mso-position-horizontal-relative:margin;mso-wrap-style:none;z-index:251625472;v-text-anchor:middle;mso-width-relative:page;mso-height-relative:page;" filled="f" stroked="f" coordsize="21600,21600" o:gfxdata="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FtbNIAAAADAQAA&#10;DwAAAAAAAAABACAAAAAiAAAAZHJzL2Rvd25yZXYueG1sUEsBAhQAFAAAAAgAh07iQAMdpjsfAgAA&#10;HgQAAA4AAAAAAAAAAQAgAAAAIQEAAGRycy9lMm9Eb2MueG1sUEsFBgAAAAAGAAYAWQEAALIFAAAA&#10;AA==&#10;">
              <v:fill on="f" focussize="0,0"/>
              <v:stroke on="f"/>
              <v:imagedata o:title=""/>
              <o:lock v:ext="edit" aspectratio="f"/>
              <v:textbox inset="0mm,0mm,0mm,0mm" style="mso-fit-shape-to-text:t;">
                <w:txbxContent>
                  <w:p>
                    <w:pPr>
                      <w:numPr>
                        <w:ilvl w:val="0"/>
                        <w:numId w:val="0"/>
                      </w:numPr>
                      <w:tabs>
                        <w:tab w:val="center" w:pos="4153"/>
                        <w:tab w:val="right" w:pos="8306"/>
                      </w:tabs>
                      <w:autoSpaceDE/>
                      <w:autoSpaceDN/>
                      <w:snapToGrid w:val="0"/>
                      <w:spacing w:before="0" w:after="200" w:line="240" w:lineRule="auto"/>
                      <w:ind w:right="0" w:firstLine="0"/>
                      <w:jc w:val="left"/>
                      <w:rPr>
                        <w:rFonts w:hint="default" w:ascii="Tahoma" w:hAnsi="Times New Roman" w:eastAsia="Times New Roman"/>
                        <w:color w:val="auto"/>
                        <w:position w:val="0"/>
                        <w:sz w:val="18"/>
                        <w:szCs w:val="18"/>
                      </w:rPr>
                    </w:pPr>
                    <w:r>
                      <w:rPr>
                        <w:rFonts w:hint="default" w:ascii="Tahoma" w:hAnsi="Times New Roman" w:eastAsia="Times New Roman"/>
                        <w:color w:val="auto"/>
                        <w:position w:val="0"/>
                        <w:sz w:val="22"/>
                        <w:szCs w:val="22"/>
                      </w:rPr>
                      <w:fldChar w:fldCharType="begin"/>
                    </w:r>
                    <w:r>
                      <w:instrText xml:space="preserve">PAGE  \* MERGEFORMAT</w:instrText>
                    </w:r>
                    <w:r>
                      <w:fldChar w:fldCharType="separate"/>
                    </w:r>
                    <w:r>
                      <w:rPr>
                        <w:rFonts w:hint="default" w:ascii="Tahoma" w:hAnsi="Times New Roman" w:eastAsia="Times New Roman"/>
                        <w:color w:val="auto"/>
                        <w:position w:val="0"/>
                        <w:sz w:val="22"/>
                        <w:szCs w:val="22"/>
                      </w:rPr>
                      <w:t>- 45 -</w:t>
                    </w:r>
                    <w:r>
                      <w:rPr>
                        <w:rFonts w:hint="default" w:ascii="Tahoma" w:hAnsi="Times New Roman" w:eastAsia="Times New Roman"/>
                        <w:color w:val="auto"/>
                        <w:position w:val="0"/>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numPr>
        <w:ilvl w:val="0"/>
        <w:numId w:val="0"/>
      </w:numPr>
      <w:tabs>
        <w:tab w:val="center" w:pos="4153"/>
        <w:tab w:val="right" w:pos="8306"/>
      </w:tabs>
      <w:autoSpaceDE/>
      <w:autoSpaceDN/>
      <w:snapToGrid w:val="0"/>
      <w:spacing w:before="0" w:after="200" w:line="240" w:lineRule="auto"/>
      <w:ind w:right="0" w:firstLine="0"/>
      <w:jc w:val="center"/>
      <w:rPr>
        <w:rFonts w:hint="default" w:ascii="Tahoma" w:hAnsi="Times New Roman" w:eastAsia="Times New Roman"/>
        <w:color w:val="auto"/>
        <w:position w:val="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AED141"/>
    <w:multiLevelType w:val="singleLevel"/>
    <w:tmpl w:val="F1AED141"/>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00000001"/>
    <w:multiLevelType w:val="multilevel"/>
    <w:tmpl w:val="00000001"/>
    <w:lvl w:ilvl="0" w:tentative="0">
      <w:start w:val="1"/>
      <w:numFmt w:val="decimal"/>
      <w:suff w:val="nothing"/>
      <w:lvlText w:val="%1、"/>
      <w:lvlJc w:val="left"/>
    </w:lvl>
    <w:lvl w:ilvl="1" w:tentative="0">
      <w:start w:val="1"/>
      <w:numFmt w:val="decimal"/>
      <w:suff w:val="nothing"/>
      <w:lvlText w:val="%1、"/>
      <w:lvlJc w:val="left"/>
    </w:lvl>
    <w:lvl w:ilvl="2" w:tentative="0">
      <w:start w:val="1"/>
      <w:numFmt w:val="decimal"/>
      <w:suff w:val="nothing"/>
      <w:lvlText w:val="%1、"/>
      <w:lvlJc w:val="left"/>
    </w:lvl>
    <w:lvl w:ilvl="3" w:tentative="0">
      <w:start w:val="1"/>
      <w:numFmt w:val="decimal"/>
      <w:suff w:val="nothing"/>
      <w:lvlText w:val="%1、"/>
      <w:lvlJc w:val="left"/>
    </w:lvl>
    <w:lvl w:ilvl="4" w:tentative="0">
      <w:start w:val="1"/>
      <w:numFmt w:val="decimal"/>
      <w:suff w:val="nothing"/>
      <w:lvlText w:val="%1、"/>
      <w:lvlJc w:val="left"/>
    </w:lvl>
    <w:lvl w:ilvl="5" w:tentative="0">
      <w:start w:val="1"/>
      <w:numFmt w:val="decimal"/>
      <w:suff w:val="nothing"/>
      <w:lvlText w:val="%1、"/>
      <w:lvlJc w:val="left"/>
    </w:lvl>
    <w:lvl w:ilvl="6" w:tentative="0">
      <w:start w:val="1"/>
      <w:numFmt w:val="decimal"/>
      <w:suff w:val="nothing"/>
      <w:lvlText w:val="%1、"/>
      <w:lvlJc w:val="left"/>
    </w:lvl>
    <w:lvl w:ilvl="7" w:tentative="0">
      <w:start w:val="1"/>
      <w:numFmt w:val="decimal"/>
      <w:suff w:val="nothing"/>
      <w:lvlText w:val="%1、"/>
      <w:lvlJc w:val="left"/>
    </w:lvl>
    <w:lvl w:ilvl="8" w:tentative="0">
      <w:start w:val="1"/>
      <w:numFmt w:val="decimal"/>
      <w:suff w:val="nothing"/>
      <w:lvlText w:val="%1、"/>
      <w:lvlJc w:val="left"/>
    </w:lvl>
  </w:abstractNum>
  <w:abstractNum w:abstractNumId="2">
    <w:nsid w:val="00000002"/>
    <w:multiLevelType w:val="multilevel"/>
    <w:tmpl w:val="00000002"/>
    <w:lvl w:ilvl="0" w:tentative="0">
      <w:start w:val="1"/>
      <w:numFmt w:val="decimal"/>
      <w:suff w:val="nothing"/>
      <w:lvlText w:val="%1、"/>
      <w:lvlJc w:val="left"/>
      <w:rPr>
        <w:w w:val="100"/>
        <w:sz w:val="20"/>
        <w:szCs w:val="20"/>
        <w:shd w:val="clear"/>
      </w:rPr>
    </w:lvl>
    <w:lvl w:ilvl="1" w:tentative="0">
      <w:start w:val="1"/>
      <w:numFmt w:val="decimal"/>
      <w:suff w:val="nothing"/>
      <w:lvlText w:val="%1、"/>
      <w:lvlJc w:val="left"/>
      <w:rPr>
        <w:w w:val="100"/>
        <w:sz w:val="20"/>
        <w:szCs w:val="20"/>
        <w:shd w:val="clear"/>
      </w:rPr>
    </w:lvl>
    <w:lvl w:ilvl="2" w:tentative="0">
      <w:start w:val="1"/>
      <w:numFmt w:val="decimal"/>
      <w:suff w:val="nothing"/>
      <w:lvlText w:val="%1、"/>
      <w:lvlJc w:val="left"/>
      <w:rPr>
        <w:w w:val="100"/>
        <w:sz w:val="20"/>
        <w:szCs w:val="20"/>
        <w:shd w:val="clear"/>
      </w:rPr>
    </w:lvl>
    <w:lvl w:ilvl="3" w:tentative="0">
      <w:start w:val="1"/>
      <w:numFmt w:val="decimal"/>
      <w:suff w:val="nothing"/>
      <w:lvlText w:val="%1、"/>
      <w:lvlJc w:val="left"/>
      <w:rPr>
        <w:w w:val="100"/>
        <w:sz w:val="20"/>
        <w:szCs w:val="20"/>
        <w:shd w:val="clear"/>
      </w:rPr>
    </w:lvl>
    <w:lvl w:ilvl="4" w:tentative="0">
      <w:start w:val="1"/>
      <w:numFmt w:val="decimal"/>
      <w:suff w:val="nothing"/>
      <w:lvlText w:val="%1、"/>
      <w:lvlJc w:val="left"/>
      <w:rPr>
        <w:w w:val="100"/>
        <w:sz w:val="20"/>
        <w:szCs w:val="20"/>
        <w:shd w:val="clear"/>
      </w:rPr>
    </w:lvl>
    <w:lvl w:ilvl="5" w:tentative="0">
      <w:start w:val="1"/>
      <w:numFmt w:val="decimal"/>
      <w:suff w:val="nothing"/>
      <w:lvlText w:val="%1、"/>
      <w:lvlJc w:val="left"/>
      <w:rPr>
        <w:w w:val="100"/>
        <w:sz w:val="20"/>
        <w:szCs w:val="20"/>
        <w:shd w:val="clear"/>
      </w:rPr>
    </w:lvl>
    <w:lvl w:ilvl="6" w:tentative="0">
      <w:start w:val="1"/>
      <w:numFmt w:val="decimal"/>
      <w:suff w:val="nothing"/>
      <w:lvlText w:val="%1、"/>
      <w:lvlJc w:val="left"/>
      <w:rPr>
        <w:w w:val="100"/>
        <w:sz w:val="20"/>
        <w:szCs w:val="20"/>
        <w:shd w:val="clear"/>
      </w:rPr>
    </w:lvl>
    <w:lvl w:ilvl="7" w:tentative="0">
      <w:start w:val="1"/>
      <w:numFmt w:val="decimal"/>
      <w:suff w:val="nothing"/>
      <w:lvlText w:val="%1、"/>
      <w:lvlJc w:val="left"/>
      <w:rPr>
        <w:w w:val="100"/>
        <w:sz w:val="20"/>
        <w:szCs w:val="20"/>
        <w:shd w:val="clear"/>
      </w:rPr>
    </w:lvl>
    <w:lvl w:ilvl="8" w:tentative="0">
      <w:start w:val="1"/>
      <w:numFmt w:val="decimal"/>
      <w:suff w:val="nothing"/>
      <w:lvlText w:val="%1、"/>
      <w:lvlJc w:val="left"/>
      <w:rPr>
        <w:w w:val="100"/>
        <w:sz w:val="20"/>
        <w:szCs w:val="20"/>
        <w:shd w:val="clear"/>
      </w:rPr>
    </w:lvl>
  </w:abstractNum>
  <w:abstractNum w:abstractNumId="3">
    <w:nsid w:val="73B38C4F"/>
    <w:multiLevelType w:val="singleLevel"/>
    <w:tmpl w:val="73B38C4F"/>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420"/>
  <w:displayHorizontalDrawingGridEvery w:val="1"/>
  <w:displayVerticalDrawingGridEvery w:val="1"/>
  <w:noPunctuationKerning w:val="1"/>
  <w:characterSpacingControl w:val="compressPunctuation"/>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rsids>
    <w:rsidRoot w:val="00000000"/>
    <w:rsid w:val="005D1386"/>
    <w:rsid w:val="00725128"/>
    <w:rsid w:val="007E4CC5"/>
    <w:rsid w:val="00983D8A"/>
    <w:rsid w:val="00A358FD"/>
    <w:rsid w:val="00B46D40"/>
    <w:rsid w:val="01001979"/>
    <w:rsid w:val="013C4549"/>
    <w:rsid w:val="02136D34"/>
    <w:rsid w:val="028F3A22"/>
    <w:rsid w:val="03195A29"/>
    <w:rsid w:val="031E5272"/>
    <w:rsid w:val="03710137"/>
    <w:rsid w:val="03B11D1F"/>
    <w:rsid w:val="03E336CD"/>
    <w:rsid w:val="04940E66"/>
    <w:rsid w:val="0520234E"/>
    <w:rsid w:val="052C5760"/>
    <w:rsid w:val="052D2530"/>
    <w:rsid w:val="05411212"/>
    <w:rsid w:val="06BA0854"/>
    <w:rsid w:val="07D56117"/>
    <w:rsid w:val="083B5718"/>
    <w:rsid w:val="09191799"/>
    <w:rsid w:val="0A264178"/>
    <w:rsid w:val="0A286E42"/>
    <w:rsid w:val="0ABF44E1"/>
    <w:rsid w:val="0B1A0473"/>
    <w:rsid w:val="0B1D6747"/>
    <w:rsid w:val="0BAA7156"/>
    <w:rsid w:val="0DC91057"/>
    <w:rsid w:val="0EFF16FD"/>
    <w:rsid w:val="0F6F6717"/>
    <w:rsid w:val="0FAB4B67"/>
    <w:rsid w:val="10571A41"/>
    <w:rsid w:val="10974CC1"/>
    <w:rsid w:val="11466C0D"/>
    <w:rsid w:val="122836CF"/>
    <w:rsid w:val="12BF510F"/>
    <w:rsid w:val="12E90A38"/>
    <w:rsid w:val="139F4992"/>
    <w:rsid w:val="13FA1E8C"/>
    <w:rsid w:val="14EB06A0"/>
    <w:rsid w:val="15003004"/>
    <w:rsid w:val="18E61CB8"/>
    <w:rsid w:val="19D74139"/>
    <w:rsid w:val="1A16116F"/>
    <w:rsid w:val="1A4C3E60"/>
    <w:rsid w:val="1ACF7A00"/>
    <w:rsid w:val="1AE478D8"/>
    <w:rsid w:val="1B366248"/>
    <w:rsid w:val="1B9B7C32"/>
    <w:rsid w:val="1BB57823"/>
    <w:rsid w:val="1C170DB9"/>
    <w:rsid w:val="1C3F3D82"/>
    <w:rsid w:val="1CFB02E3"/>
    <w:rsid w:val="1D785CBE"/>
    <w:rsid w:val="1DB00DFC"/>
    <w:rsid w:val="205C19CE"/>
    <w:rsid w:val="20D77FFD"/>
    <w:rsid w:val="21B97510"/>
    <w:rsid w:val="227C0ABE"/>
    <w:rsid w:val="22F52836"/>
    <w:rsid w:val="2422483C"/>
    <w:rsid w:val="248F2588"/>
    <w:rsid w:val="25B347E3"/>
    <w:rsid w:val="26F539E5"/>
    <w:rsid w:val="27B30B3C"/>
    <w:rsid w:val="27BB387A"/>
    <w:rsid w:val="27F12D69"/>
    <w:rsid w:val="289A26E2"/>
    <w:rsid w:val="28AC4089"/>
    <w:rsid w:val="29401A01"/>
    <w:rsid w:val="2A3B712B"/>
    <w:rsid w:val="2A6233C2"/>
    <w:rsid w:val="2B050159"/>
    <w:rsid w:val="2B4178DD"/>
    <w:rsid w:val="2BA0352E"/>
    <w:rsid w:val="2D3E5A78"/>
    <w:rsid w:val="2DA4161B"/>
    <w:rsid w:val="2EB00A2F"/>
    <w:rsid w:val="2EF6408B"/>
    <w:rsid w:val="31656EEC"/>
    <w:rsid w:val="323A3DF9"/>
    <w:rsid w:val="32B26F03"/>
    <w:rsid w:val="3385530B"/>
    <w:rsid w:val="33C037BA"/>
    <w:rsid w:val="33C80C50"/>
    <w:rsid w:val="33E90F34"/>
    <w:rsid w:val="346453AE"/>
    <w:rsid w:val="347A55BA"/>
    <w:rsid w:val="348D3B6C"/>
    <w:rsid w:val="35BF620A"/>
    <w:rsid w:val="35CA3878"/>
    <w:rsid w:val="368B25F4"/>
    <w:rsid w:val="36A50A84"/>
    <w:rsid w:val="38542F59"/>
    <w:rsid w:val="385950C0"/>
    <w:rsid w:val="38960CA2"/>
    <w:rsid w:val="39202B1D"/>
    <w:rsid w:val="3A786FEA"/>
    <w:rsid w:val="3B670A8D"/>
    <w:rsid w:val="3C404842"/>
    <w:rsid w:val="3D2F4FEE"/>
    <w:rsid w:val="3D40188F"/>
    <w:rsid w:val="3DE13C25"/>
    <w:rsid w:val="3DF67669"/>
    <w:rsid w:val="3DFE1015"/>
    <w:rsid w:val="3E3852CA"/>
    <w:rsid w:val="3EC364F1"/>
    <w:rsid w:val="401A5124"/>
    <w:rsid w:val="405D0C93"/>
    <w:rsid w:val="40781AC7"/>
    <w:rsid w:val="41036277"/>
    <w:rsid w:val="41151BB5"/>
    <w:rsid w:val="41DB2025"/>
    <w:rsid w:val="42E85253"/>
    <w:rsid w:val="4480133A"/>
    <w:rsid w:val="45250F67"/>
    <w:rsid w:val="455B46B5"/>
    <w:rsid w:val="45FC44A0"/>
    <w:rsid w:val="460F7717"/>
    <w:rsid w:val="46F753E6"/>
    <w:rsid w:val="46FB3101"/>
    <w:rsid w:val="474D0A9F"/>
    <w:rsid w:val="47C10CFC"/>
    <w:rsid w:val="481816E6"/>
    <w:rsid w:val="4877688E"/>
    <w:rsid w:val="48801B58"/>
    <w:rsid w:val="48862470"/>
    <w:rsid w:val="48A26396"/>
    <w:rsid w:val="48D06B03"/>
    <w:rsid w:val="48F84B19"/>
    <w:rsid w:val="49511020"/>
    <w:rsid w:val="49D17706"/>
    <w:rsid w:val="4A0B0A8B"/>
    <w:rsid w:val="4A9876AC"/>
    <w:rsid w:val="4B1A731D"/>
    <w:rsid w:val="4B211F2C"/>
    <w:rsid w:val="4B301648"/>
    <w:rsid w:val="4B627F08"/>
    <w:rsid w:val="4BA1159C"/>
    <w:rsid w:val="4C8F5107"/>
    <w:rsid w:val="4CCA3704"/>
    <w:rsid w:val="4D0F1A04"/>
    <w:rsid w:val="4EE800E8"/>
    <w:rsid w:val="50746363"/>
    <w:rsid w:val="50C74E29"/>
    <w:rsid w:val="50D27B25"/>
    <w:rsid w:val="51BC3780"/>
    <w:rsid w:val="51C9219C"/>
    <w:rsid w:val="5273418C"/>
    <w:rsid w:val="52A911E6"/>
    <w:rsid w:val="541F3882"/>
    <w:rsid w:val="558A678F"/>
    <w:rsid w:val="55D52F8F"/>
    <w:rsid w:val="56D15DEB"/>
    <w:rsid w:val="5748447A"/>
    <w:rsid w:val="57695103"/>
    <w:rsid w:val="581D4B1C"/>
    <w:rsid w:val="5A75171F"/>
    <w:rsid w:val="5A9D6E4D"/>
    <w:rsid w:val="5BA11657"/>
    <w:rsid w:val="5BC93F69"/>
    <w:rsid w:val="5CB1337A"/>
    <w:rsid w:val="5F194047"/>
    <w:rsid w:val="5F313724"/>
    <w:rsid w:val="611677B3"/>
    <w:rsid w:val="61727F8E"/>
    <w:rsid w:val="61E61B4E"/>
    <w:rsid w:val="625C1782"/>
    <w:rsid w:val="62F63131"/>
    <w:rsid w:val="62FF4770"/>
    <w:rsid w:val="63472ECB"/>
    <w:rsid w:val="64276986"/>
    <w:rsid w:val="64AF1A15"/>
    <w:rsid w:val="64CB4CBD"/>
    <w:rsid w:val="65712D54"/>
    <w:rsid w:val="689B01C4"/>
    <w:rsid w:val="68B20B34"/>
    <w:rsid w:val="698A014E"/>
    <w:rsid w:val="69AF6314"/>
    <w:rsid w:val="6A212E70"/>
    <w:rsid w:val="6B2548C8"/>
    <w:rsid w:val="6C746EEB"/>
    <w:rsid w:val="6CBE78D8"/>
    <w:rsid w:val="6CD82A65"/>
    <w:rsid w:val="6D7B55CC"/>
    <w:rsid w:val="6E5B6C4A"/>
    <w:rsid w:val="6E727210"/>
    <w:rsid w:val="6ECD70B7"/>
    <w:rsid w:val="6F713C7A"/>
    <w:rsid w:val="7019449A"/>
    <w:rsid w:val="70411C76"/>
    <w:rsid w:val="704911AF"/>
    <w:rsid w:val="70824807"/>
    <w:rsid w:val="71554E1A"/>
    <w:rsid w:val="71624F8C"/>
    <w:rsid w:val="72677DD1"/>
    <w:rsid w:val="72C31F62"/>
    <w:rsid w:val="72DE2365"/>
    <w:rsid w:val="73340ED2"/>
    <w:rsid w:val="73896A46"/>
    <w:rsid w:val="745517AC"/>
    <w:rsid w:val="757763CA"/>
    <w:rsid w:val="75B07D4E"/>
    <w:rsid w:val="76440A27"/>
    <w:rsid w:val="76635E70"/>
    <w:rsid w:val="76B578AA"/>
    <w:rsid w:val="76FC759A"/>
    <w:rsid w:val="771A4055"/>
    <w:rsid w:val="7753696B"/>
    <w:rsid w:val="775B781B"/>
    <w:rsid w:val="778212DB"/>
    <w:rsid w:val="77954A54"/>
    <w:rsid w:val="77A02B27"/>
    <w:rsid w:val="77F11A48"/>
    <w:rsid w:val="79607674"/>
    <w:rsid w:val="7AFF13A6"/>
    <w:rsid w:val="7B281D24"/>
    <w:rsid w:val="7C5F6512"/>
    <w:rsid w:val="7CB2118E"/>
    <w:rsid w:val="7D8B2A5A"/>
    <w:rsid w:val="7E372130"/>
    <w:rsid w:val="7E936F57"/>
    <w:rsid w:val="7EAD5CA3"/>
    <w:rsid w:val="7F015888"/>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28" w:semiHidden="0" w:name="toc 1"/>
    <w:lsdException w:qFormat="1" w:unhideWhenUsed="0" w:uiPriority="29" w:semiHidden="0" w:name="toc 2"/>
    <w:lsdException w:qFormat="1" w:unhideWhenUsed="0"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157" w:semiHidden="0" w:name="header"/>
    <w:lsdException w:qFormat="1" w:unhideWhenUsed="0" w:uiPriority="156"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6" w:semiHidden="0" w:name="Title"/>
    <w:lsdException w:unhideWhenUsed="0" w:uiPriority="0" w:semiHidden="0" w:name="Closing"/>
    <w:lsdException w:unhideWhenUsed="0" w:uiPriority="0" w:semiHidden="0" w:name="Signature"/>
    <w:lsdException w:qFormat="1" w:unhideWhenUsed="0" w:uiPriority="2" w:name="Default Paragraph Font"/>
    <w:lsdException w:qFormat="1" w:unhideWhenUsed="0" w:uiPriority="152" w:semiHidden="0" w:name="Body Text"/>
    <w:lsdException w:qFormat="1" w:unhideWhenUsed="0" w:uiPriority="153"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6"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158"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155" w:semiHidden="0" w:name="Body Text Indent 2"/>
    <w:lsdException w:unhideWhenUsed="0" w:uiPriority="0" w:semiHidden="0" w:name="Body Text Indent 3"/>
    <w:lsdException w:unhideWhenUsed="0" w:uiPriority="0" w:semiHidden="0" w:name="Block Text"/>
    <w:lsdException w:qFormat="1" w:unhideWhenUsed="0" w:uiPriority="159" w:semiHidden="0" w:name="Hyperlink"/>
    <w:lsdException w:unhideWhenUsed="0" w:uiPriority="0" w:semiHidden="0" w:name="FollowedHyperlink"/>
    <w:lsdException w:qFormat="1" w:unhideWhenUsed="0" w:uiPriority="20" w:semiHidden="0" w:name="Strong"/>
    <w:lsdException w:qFormat="1" w:unhideWhenUsed="0" w:uiPriority="18"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3"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7" w:semiHidden="0" w:name="Table Grid"/>
    <w:lsdException w:unhideWhenUsed="0" w:uiPriority="0" w:semiHidden="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wordWrap/>
      <w:autoSpaceDE/>
      <w:autoSpaceDN/>
    </w:pPr>
    <w:rPr>
      <w:rFonts w:ascii="Tahoma" w:hAnsi="Tahoma" w:eastAsia="Times New Roman" w:cs="宋体"/>
      <w:w w:val="100"/>
      <w:sz w:val="22"/>
      <w:szCs w:val="22"/>
      <w:shd w:val="clear"/>
    </w:rPr>
  </w:style>
  <w:style w:type="paragraph" w:styleId="5">
    <w:name w:val="heading 1"/>
    <w:basedOn w:val="1"/>
    <w:next w:val="1"/>
    <w:qFormat/>
    <w:uiPriority w:val="7"/>
    <w:pPr>
      <w:jc w:val="both"/>
    </w:pPr>
    <w:rPr>
      <w:rFonts w:ascii="Times New Roman" w:hAnsi="Times New Roman" w:eastAsia="Times New Roman" w:cs="宋体"/>
      <w:w w:val="100"/>
      <w:sz w:val="28"/>
      <w:szCs w:val="28"/>
      <w:shd w:val="clear"/>
    </w:rPr>
  </w:style>
  <w:style w:type="paragraph" w:styleId="6">
    <w:name w:val="heading 2"/>
    <w:basedOn w:val="1"/>
    <w:next w:val="1"/>
    <w:link w:val="67"/>
    <w:qFormat/>
    <w:uiPriority w:val="8"/>
    <w:pPr>
      <w:keepNext/>
      <w:keepLines/>
      <w:widowControl/>
      <w:wordWrap/>
      <w:autoSpaceDE/>
      <w:autoSpaceDN/>
    </w:pPr>
    <w:rPr>
      <w:rFonts w:ascii="Arial" w:hAnsi="Arial" w:eastAsia="黑体"/>
      <w:b/>
      <w:w w:val="100"/>
      <w:sz w:val="32"/>
      <w:szCs w:val="32"/>
      <w:shd w:val="clear"/>
    </w:rPr>
  </w:style>
  <w:style w:type="paragraph" w:styleId="7">
    <w:name w:val="heading 3"/>
    <w:next w:val="1"/>
    <w:qFormat/>
    <w:uiPriority w:val="9"/>
    <w:pPr>
      <w:ind w:left="1000" w:hanging="400"/>
      <w:jc w:val="both"/>
    </w:pPr>
    <w:rPr>
      <w:rFonts w:ascii="Times New Roman" w:hAnsi="Times New Roman" w:eastAsia="Times New Roman" w:cs="宋体"/>
      <w:w w:val="100"/>
      <w:sz w:val="21"/>
      <w:szCs w:val="21"/>
      <w:shd w:val="clear"/>
    </w:rPr>
  </w:style>
  <w:style w:type="paragraph" w:styleId="8">
    <w:name w:val="heading 4"/>
    <w:basedOn w:val="1"/>
    <w:next w:val="1"/>
    <w:qFormat/>
    <w:uiPriority w:val="10"/>
    <w:pPr>
      <w:ind w:left="1200" w:hanging="400"/>
      <w:jc w:val="both"/>
    </w:pPr>
    <w:rPr>
      <w:rFonts w:ascii="Times New Roman" w:hAnsi="Times New Roman" w:eastAsia="Times New Roman" w:cs="宋体"/>
      <w:b/>
      <w:w w:val="100"/>
      <w:sz w:val="21"/>
      <w:szCs w:val="21"/>
      <w:shd w:val="clear"/>
    </w:rPr>
  </w:style>
  <w:style w:type="paragraph" w:styleId="9">
    <w:name w:val="heading 5"/>
    <w:next w:val="1"/>
    <w:qFormat/>
    <w:uiPriority w:val="11"/>
    <w:pPr>
      <w:ind w:left="1400" w:hanging="400"/>
      <w:jc w:val="both"/>
    </w:pPr>
    <w:rPr>
      <w:rFonts w:ascii="Times New Roman" w:hAnsi="Times New Roman" w:eastAsia="Times New Roman" w:cs="宋体"/>
      <w:w w:val="100"/>
      <w:sz w:val="21"/>
      <w:szCs w:val="21"/>
      <w:shd w:val="clear"/>
    </w:rPr>
  </w:style>
  <w:style w:type="paragraph" w:styleId="10">
    <w:name w:val="heading 6"/>
    <w:next w:val="1"/>
    <w:qFormat/>
    <w:uiPriority w:val="12"/>
    <w:pPr>
      <w:ind w:left="1600" w:hanging="400"/>
      <w:jc w:val="both"/>
    </w:pPr>
    <w:rPr>
      <w:rFonts w:ascii="Times New Roman" w:hAnsi="Times New Roman" w:eastAsia="Times New Roman" w:cs="宋体"/>
      <w:b/>
      <w:w w:val="100"/>
      <w:sz w:val="21"/>
      <w:szCs w:val="21"/>
      <w:shd w:val="clear"/>
    </w:rPr>
  </w:style>
  <w:style w:type="paragraph" w:styleId="11">
    <w:name w:val="heading 7"/>
    <w:next w:val="1"/>
    <w:qFormat/>
    <w:uiPriority w:val="13"/>
    <w:pPr>
      <w:ind w:left="1800" w:hanging="400"/>
      <w:jc w:val="both"/>
    </w:pPr>
    <w:rPr>
      <w:rFonts w:ascii="Times New Roman" w:hAnsi="Times New Roman" w:eastAsia="Times New Roman" w:cs="宋体"/>
      <w:w w:val="100"/>
      <w:sz w:val="21"/>
      <w:szCs w:val="21"/>
      <w:shd w:val="clear"/>
    </w:rPr>
  </w:style>
  <w:style w:type="paragraph" w:styleId="12">
    <w:name w:val="heading 8"/>
    <w:next w:val="1"/>
    <w:qFormat/>
    <w:uiPriority w:val="14"/>
    <w:pPr>
      <w:ind w:left="2000" w:hanging="400"/>
      <w:jc w:val="both"/>
    </w:pPr>
    <w:rPr>
      <w:rFonts w:ascii="Times New Roman" w:hAnsi="Times New Roman" w:eastAsia="Times New Roman" w:cs="宋体"/>
      <w:w w:val="100"/>
      <w:sz w:val="21"/>
      <w:szCs w:val="21"/>
      <w:shd w:val="clear"/>
    </w:rPr>
  </w:style>
  <w:style w:type="paragraph" w:styleId="13">
    <w:name w:val="heading 9"/>
    <w:next w:val="1"/>
    <w:qFormat/>
    <w:uiPriority w:val="15"/>
    <w:pPr>
      <w:ind w:left="2200" w:hanging="400"/>
      <w:jc w:val="both"/>
    </w:pPr>
    <w:rPr>
      <w:rFonts w:ascii="Times New Roman" w:hAnsi="Times New Roman" w:eastAsia="Times New Roman" w:cs="宋体"/>
      <w:w w:val="100"/>
      <w:sz w:val="21"/>
      <w:szCs w:val="21"/>
      <w:shd w:val="clear"/>
    </w:rPr>
  </w:style>
  <w:style w:type="character" w:default="1" w:styleId="35">
    <w:name w:val="Default Paragraph Font"/>
    <w:semiHidden/>
    <w:qFormat/>
    <w:uiPriority w:val="2"/>
  </w:style>
  <w:style w:type="table" w:default="1" w:styleId="33">
    <w:name w:val="Normal Table"/>
    <w:semiHidden/>
    <w:qFormat/>
    <w:uiPriority w:val="3"/>
    <w:tblPr>
      <w:tblCellMar>
        <w:top w:w="0" w:type="dxa"/>
        <w:left w:w="108" w:type="dxa"/>
        <w:bottom w:w="0" w:type="dxa"/>
        <w:right w:w="108" w:type="dxa"/>
      </w:tblCellMar>
    </w:tblPr>
  </w:style>
  <w:style w:type="paragraph" w:styleId="2">
    <w:name w:val="Body Text First Indent 2"/>
    <w:basedOn w:val="3"/>
    <w:next w:val="1"/>
    <w:qFormat/>
    <w:uiPriority w:val="158"/>
    <w:pPr>
      <w:widowControl/>
      <w:wordWrap/>
      <w:autoSpaceDE/>
      <w:autoSpaceDN/>
      <w:ind w:left="420" w:firstLine="210"/>
    </w:pPr>
    <w:rPr>
      <w:rFonts w:ascii="Times New Roman" w:hAnsi="Times New Roman" w:eastAsia="Times New Roman"/>
      <w:b/>
      <w:w w:val="100"/>
      <w:sz w:val="20"/>
      <w:szCs w:val="20"/>
      <w:shd w:val="clear"/>
    </w:rPr>
  </w:style>
  <w:style w:type="paragraph" w:styleId="3">
    <w:name w:val="Body Text Indent"/>
    <w:basedOn w:val="1"/>
    <w:next w:val="4"/>
    <w:qFormat/>
    <w:uiPriority w:val="153"/>
    <w:pPr>
      <w:widowControl/>
      <w:wordWrap/>
      <w:autoSpaceDE/>
      <w:autoSpaceDN/>
      <w:ind w:firstLine="560"/>
    </w:pPr>
    <w:rPr>
      <w:rFonts w:ascii="宋体" w:hAnsi="宋体" w:eastAsia="黑体"/>
      <w:w w:val="100"/>
      <w:sz w:val="28"/>
      <w:szCs w:val="28"/>
      <w:shd w:val="clear"/>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14">
    <w:name w:val="toc 7"/>
    <w:next w:val="1"/>
    <w:unhideWhenUsed/>
    <w:qFormat/>
    <w:uiPriority w:val="34"/>
    <w:pPr>
      <w:ind w:left="2550" w:firstLine="0"/>
      <w:jc w:val="both"/>
    </w:pPr>
    <w:rPr>
      <w:rFonts w:ascii="Times New Roman" w:hAnsi="Times New Roman" w:eastAsia="Times New Roman" w:cs="宋体"/>
      <w:w w:val="100"/>
      <w:sz w:val="21"/>
      <w:szCs w:val="21"/>
      <w:shd w:val="clear"/>
    </w:rPr>
  </w:style>
  <w:style w:type="paragraph" w:styleId="15">
    <w:name w:val="annotation text"/>
    <w:basedOn w:val="1"/>
    <w:qFormat/>
    <w:uiPriority w:val="0"/>
    <w:pPr>
      <w:jc w:val="left"/>
    </w:pPr>
  </w:style>
  <w:style w:type="paragraph" w:styleId="16">
    <w:name w:val="Body Text"/>
    <w:basedOn w:val="1"/>
    <w:next w:val="17"/>
    <w:qFormat/>
    <w:uiPriority w:val="152"/>
    <w:rPr>
      <w:rFonts w:ascii="宋体" w:hAnsi="宋体" w:eastAsia="宋体"/>
      <w:w w:val="100"/>
      <w:sz w:val="24"/>
      <w:szCs w:val="24"/>
      <w:shd w:val="clear"/>
    </w:rPr>
  </w:style>
  <w:style w:type="paragraph" w:styleId="17">
    <w:name w:val="List Bullet 5"/>
    <w:basedOn w:val="1"/>
    <w:qFormat/>
    <w:uiPriority w:val="0"/>
    <w:pPr>
      <w:numPr>
        <w:ilvl w:val="0"/>
        <w:numId w:val="1"/>
      </w:numPr>
    </w:pPr>
  </w:style>
  <w:style w:type="paragraph" w:styleId="18">
    <w:name w:val="toc 5"/>
    <w:next w:val="1"/>
    <w:unhideWhenUsed/>
    <w:qFormat/>
    <w:uiPriority w:val="32"/>
    <w:pPr>
      <w:ind w:left="1700" w:firstLine="0"/>
      <w:jc w:val="both"/>
    </w:pPr>
    <w:rPr>
      <w:rFonts w:ascii="Times New Roman" w:hAnsi="Times New Roman" w:eastAsia="Times New Roman" w:cs="宋体"/>
      <w:w w:val="100"/>
      <w:sz w:val="21"/>
      <w:szCs w:val="21"/>
      <w:shd w:val="clear"/>
    </w:rPr>
  </w:style>
  <w:style w:type="paragraph" w:styleId="19">
    <w:name w:val="toc 3"/>
    <w:basedOn w:val="1"/>
    <w:next w:val="1"/>
    <w:qFormat/>
    <w:uiPriority w:val="30"/>
    <w:pPr>
      <w:widowControl/>
      <w:wordWrap/>
      <w:autoSpaceDE/>
      <w:autoSpaceDN/>
      <w:ind w:left="840" w:firstLine="0"/>
    </w:pPr>
  </w:style>
  <w:style w:type="paragraph" w:styleId="20">
    <w:name w:val="toc 8"/>
    <w:next w:val="1"/>
    <w:unhideWhenUsed/>
    <w:qFormat/>
    <w:uiPriority w:val="35"/>
    <w:pPr>
      <w:ind w:left="2975" w:firstLine="0"/>
      <w:jc w:val="both"/>
    </w:pPr>
    <w:rPr>
      <w:rFonts w:ascii="Times New Roman" w:hAnsi="Times New Roman" w:eastAsia="Times New Roman" w:cs="宋体"/>
      <w:w w:val="100"/>
      <w:sz w:val="21"/>
      <w:szCs w:val="21"/>
      <w:shd w:val="clear"/>
    </w:rPr>
  </w:style>
  <w:style w:type="paragraph" w:styleId="21">
    <w:name w:val="Body Text Indent 2"/>
    <w:basedOn w:val="1"/>
    <w:qFormat/>
    <w:uiPriority w:val="155"/>
    <w:pPr>
      <w:widowControl/>
      <w:tabs>
        <w:tab w:val="left" w:pos="0"/>
      </w:tabs>
      <w:wordWrap/>
      <w:autoSpaceDE/>
      <w:autoSpaceDN/>
      <w:ind w:firstLine="473"/>
    </w:pPr>
    <w:rPr>
      <w:w w:val="100"/>
      <w:sz w:val="24"/>
      <w:szCs w:val="24"/>
      <w:shd w:val="clear"/>
    </w:rPr>
  </w:style>
  <w:style w:type="paragraph" w:styleId="22">
    <w:name w:val="footer"/>
    <w:basedOn w:val="1"/>
    <w:qFormat/>
    <w:uiPriority w:val="156"/>
    <w:pPr>
      <w:widowControl/>
      <w:tabs>
        <w:tab w:val="center" w:pos="4153"/>
        <w:tab w:val="right" w:pos="8306"/>
      </w:tabs>
      <w:wordWrap/>
      <w:autoSpaceDE/>
      <w:autoSpaceDN/>
    </w:pPr>
    <w:rPr>
      <w:rFonts w:ascii="Tahoma" w:hAnsi="Tahoma" w:eastAsia="Tahoma"/>
      <w:w w:val="100"/>
      <w:sz w:val="18"/>
      <w:szCs w:val="18"/>
      <w:shd w:val="clear"/>
    </w:rPr>
  </w:style>
  <w:style w:type="paragraph" w:styleId="23">
    <w:name w:val="header"/>
    <w:basedOn w:val="1"/>
    <w:qFormat/>
    <w:uiPriority w:val="157"/>
    <w:pPr>
      <w:widowControl/>
      <w:tabs>
        <w:tab w:val="center" w:pos="4153"/>
        <w:tab w:val="right" w:pos="8306"/>
      </w:tabs>
      <w:wordWrap/>
      <w:autoSpaceDE/>
      <w:autoSpaceDN/>
      <w:jc w:val="both"/>
    </w:pPr>
    <w:rPr>
      <w:w w:val="100"/>
      <w:sz w:val="18"/>
      <w:szCs w:val="18"/>
      <w:shd w:val="clear"/>
    </w:rPr>
  </w:style>
  <w:style w:type="paragraph" w:styleId="24">
    <w:name w:val="toc 1"/>
    <w:basedOn w:val="1"/>
    <w:next w:val="1"/>
    <w:qFormat/>
    <w:uiPriority w:val="28"/>
  </w:style>
  <w:style w:type="paragraph" w:styleId="25">
    <w:name w:val="toc 4"/>
    <w:next w:val="1"/>
    <w:unhideWhenUsed/>
    <w:qFormat/>
    <w:uiPriority w:val="31"/>
    <w:pPr>
      <w:ind w:left="1275" w:firstLine="0"/>
      <w:jc w:val="both"/>
    </w:pPr>
    <w:rPr>
      <w:rFonts w:ascii="Times New Roman" w:hAnsi="Times New Roman" w:eastAsia="Times New Roman" w:cs="宋体"/>
      <w:w w:val="100"/>
      <w:sz w:val="21"/>
      <w:szCs w:val="21"/>
      <w:shd w:val="clear"/>
    </w:rPr>
  </w:style>
  <w:style w:type="paragraph" w:styleId="26">
    <w:name w:val="Subtitle"/>
    <w:qFormat/>
    <w:uiPriority w:val="16"/>
    <w:pPr>
      <w:jc w:val="center"/>
    </w:pPr>
    <w:rPr>
      <w:rFonts w:ascii="Times New Roman" w:hAnsi="Times New Roman" w:eastAsia="Times New Roman" w:cs="宋体"/>
      <w:w w:val="100"/>
      <w:sz w:val="24"/>
      <w:szCs w:val="24"/>
      <w:shd w:val="clear"/>
    </w:rPr>
  </w:style>
  <w:style w:type="paragraph" w:styleId="27">
    <w:name w:val="toc 6"/>
    <w:next w:val="1"/>
    <w:unhideWhenUsed/>
    <w:qFormat/>
    <w:uiPriority w:val="33"/>
    <w:pPr>
      <w:ind w:left="2125" w:firstLine="0"/>
      <w:jc w:val="both"/>
    </w:pPr>
    <w:rPr>
      <w:rFonts w:ascii="Times New Roman" w:hAnsi="Times New Roman" w:eastAsia="Times New Roman" w:cs="宋体"/>
      <w:w w:val="100"/>
      <w:sz w:val="21"/>
      <w:szCs w:val="21"/>
      <w:shd w:val="clear"/>
    </w:rPr>
  </w:style>
  <w:style w:type="paragraph" w:styleId="28">
    <w:name w:val="toc 2"/>
    <w:basedOn w:val="1"/>
    <w:next w:val="1"/>
    <w:qFormat/>
    <w:uiPriority w:val="29"/>
    <w:pPr>
      <w:widowControl/>
      <w:wordWrap/>
      <w:autoSpaceDE/>
      <w:autoSpaceDN/>
      <w:ind w:left="420" w:firstLine="0"/>
    </w:pPr>
  </w:style>
  <w:style w:type="paragraph" w:styleId="29">
    <w:name w:val="toc 9"/>
    <w:next w:val="1"/>
    <w:unhideWhenUsed/>
    <w:qFormat/>
    <w:uiPriority w:val="36"/>
    <w:pPr>
      <w:ind w:left="3400" w:firstLine="0"/>
      <w:jc w:val="both"/>
    </w:pPr>
    <w:rPr>
      <w:rFonts w:ascii="Times New Roman" w:hAnsi="Times New Roman" w:eastAsia="Times New Roman" w:cs="宋体"/>
      <w:w w:val="100"/>
      <w:sz w:val="21"/>
      <w:szCs w:val="21"/>
      <w:shd w:val="clear"/>
    </w:rPr>
  </w:style>
  <w:style w:type="paragraph" w:styleId="3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1">
    <w:name w:val="Title"/>
    <w:qFormat/>
    <w:uiPriority w:val="6"/>
    <w:pPr>
      <w:jc w:val="center"/>
    </w:pPr>
    <w:rPr>
      <w:rFonts w:ascii="Times New Roman" w:hAnsi="Times New Roman" w:eastAsia="Times New Roman" w:cs="宋体"/>
      <w:b/>
      <w:w w:val="100"/>
      <w:sz w:val="32"/>
      <w:szCs w:val="32"/>
      <w:shd w:val="clear"/>
    </w:rPr>
  </w:style>
  <w:style w:type="paragraph" w:styleId="32">
    <w:name w:val="Body Text First Indent"/>
    <w:basedOn w:val="16"/>
    <w:qFormat/>
    <w:uiPriority w:val="0"/>
    <w:pPr>
      <w:spacing w:after="120"/>
      <w:ind w:firstLine="420" w:firstLineChars="100"/>
    </w:pPr>
    <w:rPr>
      <w:sz w:val="30"/>
    </w:rPr>
  </w:style>
  <w:style w:type="table" w:styleId="34">
    <w:name w:val="Table Grid"/>
    <w:basedOn w:val="33"/>
    <w:qFormat/>
    <w:uiPriority w:val="37"/>
    <w:pPr>
      <w:wordWrap/>
      <w:autoSpaceDE/>
      <w:autoSpaceDN/>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0"/>
    <w:rPr>
      <w:b/>
      <w:w w:val="100"/>
      <w:sz w:val="21"/>
      <w:szCs w:val="21"/>
      <w:shd w:val="clear"/>
    </w:rPr>
  </w:style>
  <w:style w:type="character" w:styleId="37">
    <w:name w:val="Emphasis"/>
    <w:qFormat/>
    <w:uiPriority w:val="18"/>
    <w:rPr>
      <w:i/>
      <w:w w:val="100"/>
      <w:sz w:val="21"/>
      <w:szCs w:val="21"/>
      <w:shd w:val="clear"/>
    </w:rPr>
  </w:style>
  <w:style w:type="character" w:styleId="38">
    <w:name w:val="Hyperlink"/>
    <w:basedOn w:val="35"/>
    <w:qFormat/>
    <w:uiPriority w:val="159"/>
    <w:rPr>
      <w:color w:val="0000FF"/>
      <w:w w:val="100"/>
      <w:sz w:val="20"/>
      <w:szCs w:val="20"/>
      <w:u w:val="single"/>
      <w:shd w:val="clear"/>
    </w:rPr>
  </w:style>
  <w:style w:type="paragraph" w:customStyle="1" w:styleId="39">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40">
    <w:name w:val="Default"/>
    <w:qFormat/>
    <w:uiPriority w:val="151"/>
    <w:pPr>
      <w:wordWrap/>
      <w:autoSpaceDE w:val="0"/>
      <w:autoSpaceDN w:val="0"/>
    </w:pPr>
    <w:rPr>
      <w:rFonts w:ascii="宋体" w:hAnsi="宋体" w:eastAsia="宋体" w:cs="宋体"/>
      <w:color w:val="000000"/>
      <w:w w:val="100"/>
      <w:sz w:val="24"/>
      <w:szCs w:val="24"/>
      <w:shd w:val="clear"/>
    </w:rPr>
  </w:style>
  <w:style w:type="paragraph" w:styleId="41">
    <w:name w:val="No Spacing"/>
    <w:qFormat/>
    <w:uiPriority w:val="5"/>
    <w:pPr>
      <w:jc w:val="both"/>
    </w:pPr>
    <w:rPr>
      <w:rFonts w:ascii="Times New Roman" w:hAnsi="Times New Roman" w:eastAsia="Times New Roman" w:cs="宋体"/>
      <w:w w:val="100"/>
      <w:sz w:val="21"/>
      <w:szCs w:val="21"/>
      <w:shd w:val="clear"/>
    </w:rPr>
  </w:style>
  <w:style w:type="character" w:customStyle="1" w:styleId="42">
    <w:name w:val="Subtle Emphasis"/>
    <w:qFormat/>
    <w:uiPriority w:val="17"/>
    <w:rPr>
      <w:i/>
      <w:color w:val="404040"/>
      <w:w w:val="100"/>
      <w:sz w:val="21"/>
      <w:szCs w:val="21"/>
      <w:shd w:val="clear"/>
    </w:rPr>
  </w:style>
  <w:style w:type="character" w:customStyle="1" w:styleId="43">
    <w:name w:val="Intense Emphasis"/>
    <w:qFormat/>
    <w:uiPriority w:val="19"/>
    <w:rPr>
      <w:i/>
      <w:color w:val="5B9BD5"/>
      <w:w w:val="100"/>
      <w:sz w:val="21"/>
      <w:szCs w:val="21"/>
      <w:shd w:val="clear"/>
    </w:rPr>
  </w:style>
  <w:style w:type="paragraph" w:styleId="44">
    <w:name w:val="Quote"/>
    <w:qFormat/>
    <w:uiPriority w:val="21"/>
    <w:pPr>
      <w:ind w:left="864" w:right="864" w:firstLine="0"/>
      <w:jc w:val="center"/>
    </w:pPr>
    <w:rPr>
      <w:rFonts w:ascii="Times New Roman" w:hAnsi="Times New Roman" w:eastAsia="Times New Roman" w:cs="宋体"/>
      <w:i/>
      <w:color w:val="404040"/>
      <w:w w:val="100"/>
      <w:sz w:val="21"/>
      <w:szCs w:val="21"/>
      <w:shd w:val="clear"/>
    </w:rPr>
  </w:style>
  <w:style w:type="paragraph" w:styleId="45">
    <w:name w:val="Intense Quote"/>
    <w:qFormat/>
    <w:uiPriority w:val="22"/>
    <w:pPr>
      <w:ind w:left="950" w:right="950" w:firstLine="0"/>
      <w:jc w:val="center"/>
    </w:pPr>
    <w:rPr>
      <w:rFonts w:ascii="Times New Roman" w:hAnsi="Times New Roman" w:eastAsia="Times New Roman" w:cs="宋体"/>
      <w:i/>
      <w:color w:val="5B9BD5"/>
      <w:w w:val="100"/>
      <w:sz w:val="21"/>
      <w:szCs w:val="21"/>
      <w:shd w:val="clear"/>
    </w:rPr>
  </w:style>
  <w:style w:type="character" w:customStyle="1" w:styleId="46">
    <w:name w:val="Subtle Reference"/>
    <w:qFormat/>
    <w:uiPriority w:val="23"/>
    <w:rPr>
      <w:smallCaps/>
      <w:color w:val="5A5A5A"/>
      <w:w w:val="100"/>
      <w:sz w:val="21"/>
      <w:szCs w:val="21"/>
      <w:shd w:val="clear"/>
    </w:rPr>
  </w:style>
  <w:style w:type="character" w:customStyle="1" w:styleId="47">
    <w:name w:val="Intense Reference"/>
    <w:qFormat/>
    <w:uiPriority w:val="24"/>
    <w:rPr>
      <w:b/>
      <w:smallCaps/>
      <w:color w:val="5B9BD5"/>
      <w:w w:val="100"/>
      <w:sz w:val="21"/>
      <w:szCs w:val="21"/>
      <w:shd w:val="clear"/>
    </w:rPr>
  </w:style>
  <w:style w:type="character" w:customStyle="1" w:styleId="48">
    <w:name w:val="Book Title"/>
    <w:qFormat/>
    <w:uiPriority w:val="25"/>
    <w:rPr>
      <w:b/>
      <w:i/>
      <w:w w:val="100"/>
      <w:sz w:val="21"/>
      <w:szCs w:val="21"/>
      <w:shd w:val="clear"/>
    </w:rPr>
  </w:style>
  <w:style w:type="paragraph" w:styleId="49">
    <w:name w:val="List Paragraph"/>
    <w:qFormat/>
    <w:uiPriority w:val="26"/>
    <w:pPr>
      <w:ind w:left="850" w:firstLine="0"/>
      <w:jc w:val="both"/>
    </w:pPr>
    <w:rPr>
      <w:rFonts w:ascii="Times New Roman" w:hAnsi="Times New Roman" w:eastAsia="Times New Roman" w:cs="宋体"/>
      <w:w w:val="100"/>
      <w:sz w:val="21"/>
      <w:szCs w:val="21"/>
      <w:shd w:val="clear"/>
    </w:rPr>
  </w:style>
  <w:style w:type="paragraph" w:customStyle="1" w:styleId="50">
    <w:name w:val="TOC Heading"/>
    <w:unhideWhenUsed/>
    <w:qFormat/>
    <w:uiPriority w:val="27"/>
    <w:rPr>
      <w:rFonts w:ascii="Times New Roman" w:hAnsi="Times New Roman" w:eastAsia="Times New Roman" w:cs="宋体"/>
      <w:color w:val="2E74B5"/>
      <w:w w:val="100"/>
      <w:sz w:val="32"/>
      <w:szCs w:val="32"/>
      <w:shd w:val="clear"/>
    </w:rPr>
  </w:style>
  <w:style w:type="paragraph" w:customStyle="1" w:styleId="51">
    <w:name w:val="Plain Text"/>
    <w:basedOn w:val="1"/>
    <w:qFormat/>
    <w:uiPriority w:val="154"/>
    <w:rPr>
      <w:rFonts w:ascii="宋体" w:hAnsi="宋体" w:eastAsia="Courier New"/>
      <w:w w:val="100"/>
      <w:sz w:val="21"/>
      <w:szCs w:val="21"/>
      <w:shd w:val="clear"/>
    </w:rPr>
  </w:style>
  <w:style w:type="paragraph" w:customStyle="1" w:styleId="52">
    <w:name w:val="表内容"/>
    <w:basedOn w:val="1"/>
    <w:qFormat/>
    <w:uiPriority w:val="160"/>
    <w:pPr>
      <w:widowControl/>
      <w:wordWrap/>
      <w:autoSpaceDE/>
      <w:autoSpaceDN/>
      <w:jc w:val="center"/>
    </w:pPr>
    <w:rPr>
      <w:rFonts w:ascii="宋体" w:hAnsi="宋体" w:eastAsia="宋体"/>
      <w:w w:val="100"/>
      <w:sz w:val="18"/>
      <w:szCs w:val="18"/>
      <w:shd w:val="clear"/>
    </w:rPr>
  </w:style>
  <w:style w:type="paragraph" w:customStyle="1" w:styleId="53">
    <w:name w:val="表格内容"/>
    <w:basedOn w:val="1"/>
    <w:qFormat/>
    <w:uiPriority w:val="161"/>
    <w:pPr>
      <w:widowControl/>
      <w:wordWrap/>
      <w:autoSpaceDE/>
      <w:autoSpaceDN/>
      <w:jc w:val="center"/>
    </w:pPr>
    <w:rPr>
      <w:w w:val="100"/>
      <w:sz w:val="21"/>
      <w:szCs w:val="21"/>
      <w:shd w:val="clear"/>
    </w:rPr>
  </w:style>
  <w:style w:type="paragraph" w:customStyle="1" w:styleId="54">
    <w:name w:val="Normal (Web)"/>
    <w:basedOn w:val="1"/>
    <w:qFormat/>
    <w:uiPriority w:val="162"/>
    <w:pPr>
      <w:widowControl/>
      <w:wordWrap/>
      <w:autoSpaceDE/>
      <w:autoSpaceDN/>
    </w:pPr>
    <w:rPr>
      <w:rFonts w:ascii="宋体" w:hAnsi="宋体" w:eastAsia="宋体"/>
      <w:w w:val="100"/>
      <w:sz w:val="20"/>
      <w:szCs w:val="20"/>
      <w:shd w:val="clear"/>
    </w:rPr>
  </w:style>
  <w:style w:type="paragraph" w:customStyle="1" w:styleId="55">
    <w:name w:val="样式 样式 样式 四号 左侧:  1.53 厘米 + 首行缩进:  2 字符 + 居中 左侧:  2 字符 首行缩进:  2..."/>
    <w:qFormat/>
    <w:uiPriority w:val="163"/>
    <w:pPr>
      <w:widowControl/>
      <w:wordWrap/>
      <w:autoSpaceDE/>
      <w:autoSpaceDN/>
      <w:jc w:val="center"/>
    </w:pPr>
    <w:rPr>
      <w:rFonts w:ascii="Times New Roman" w:hAnsi="Times New Roman" w:eastAsia="Times New Roman" w:cs="宋体"/>
      <w:w w:val="100"/>
      <w:sz w:val="20"/>
      <w:szCs w:val="20"/>
      <w:shd w:val="clear"/>
    </w:rPr>
  </w:style>
  <w:style w:type="paragraph" w:customStyle="1" w:styleId="56">
    <w:name w:val="样式 样式 四号 左侧:  1.53 厘米 + 首行缩进:  2 字符"/>
    <w:qFormat/>
    <w:uiPriority w:val="164"/>
    <w:pPr>
      <w:widowControl/>
      <w:wordWrap/>
      <w:autoSpaceDE/>
      <w:autoSpaceDN/>
      <w:ind w:left="200" w:firstLine="0"/>
    </w:pPr>
    <w:rPr>
      <w:rFonts w:ascii="Times New Roman" w:hAnsi="Times New Roman" w:eastAsia="Times New Roman" w:cs="宋体"/>
      <w:w w:val="100"/>
      <w:sz w:val="20"/>
      <w:szCs w:val="20"/>
      <w:shd w:val="clear"/>
    </w:rPr>
  </w:style>
  <w:style w:type="paragraph" w:customStyle="1" w:styleId="57">
    <w:name w:val="样式 四号 左侧:  1.53 厘米"/>
    <w:basedOn w:val="1"/>
    <w:qFormat/>
    <w:uiPriority w:val="165"/>
    <w:pPr>
      <w:widowControl/>
      <w:wordWrap/>
      <w:autoSpaceDE/>
      <w:autoSpaceDN/>
    </w:pPr>
    <w:rPr>
      <w:w w:val="90"/>
      <w:sz w:val="28"/>
      <w:szCs w:val="28"/>
      <w:shd w:val="clear"/>
    </w:rPr>
  </w:style>
  <w:style w:type="paragraph" w:customStyle="1" w:styleId="58">
    <w:name w:val="表标题"/>
    <w:qFormat/>
    <w:uiPriority w:val="166"/>
    <w:pPr>
      <w:widowControl/>
      <w:wordWrap/>
      <w:autoSpaceDE/>
      <w:autoSpaceDN/>
      <w:ind w:firstLine="0"/>
      <w:jc w:val="center"/>
    </w:pPr>
    <w:rPr>
      <w:rFonts w:ascii="Times New Roman" w:hAnsi="Times New Roman" w:eastAsia="Times New Roman" w:cs="宋体"/>
      <w:b/>
      <w:w w:val="100"/>
      <w:sz w:val="24"/>
      <w:szCs w:val="24"/>
      <w:shd w:val="clear"/>
    </w:rPr>
  </w:style>
  <w:style w:type="paragraph" w:customStyle="1" w:styleId="59">
    <w:name w:val="Body Text First Indent"/>
    <w:basedOn w:val="16"/>
    <w:qFormat/>
    <w:uiPriority w:val="167"/>
    <w:pPr>
      <w:widowControl/>
      <w:wordWrap/>
      <w:autoSpaceDE/>
      <w:autoSpaceDN/>
      <w:ind w:firstLine="420"/>
    </w:pPr>
    <w:rPr>
      <w:w w:val="100"/>
      <w:sz w:val="21"/>
      <w:szCs w:val="21"/>
      <w:shd w:val="clear"/>
    </w:rPr>
  </w:style>
  <w:style w:type="paragraph" w:customStyle="1" w:styleId="60">
    <w:name w:val="表格"/>
    <w:basedOn w:val="1"/>
    <w:qFormat/>
    <w:uiPriority w:val="168"/>
    <w:pPr>
      <w:widowControl/>
      <w:wordWrap/>
      <w:autoSpaceDE/>
      <w:autoSpaceDN/>
      <w:jc w:val="center"/>
    </w:pPr>
  </w:style>
  <w:style w:type="character" w:customStyle="1" w:styleId="61">
    <w:name w:val="正文文本 (2)_"/>
    <w:basedOn w:val="35"/>
    <w:link w:val="62"/>
    <w:unhideWhenUsed/>
    <w:qFormat/>
    <w:uiPriority w:val="169"/>
    <w:rPr>
      <w:rFonts w:ascii="微软雅黑" w:hAnsi="微软雅黑" w:eastAsia="微软雅黑" w:cs="微软雅黑"/>
      <w:sz w:val="12"/>
      <w:szCs w:val="12"/>
      <w:u w:val="none"/>
    </w:rPr>
  </w:style>
  <w:style w:type="paragraph" w:customStyle="1" w:styleId="62">
    <w:name w:val="正文文本 (2)"/>
    <w:basedOn w:val="1"/>
    <w:link w:val="61"/>
    <w:unhideWhenUsed/>
    <w:qFormat/>
    <w:uiPriority w:val="170"/>
    <w:pPr>
      <w:widowControl/>
      <w:shd w:val="clear" w:color="000000" w:fill="FFFFFF"/>
      <w:wordWrap/>
      <w:autoSpaceDE/>
      <w:autoSpaceDN/>
      <w:jc w:val="distribute"/>
    </w:pPr>
    <w:rPr>
      <w:rFonts w:ascii="微软雅黑" w:hAnsi="微软雅黑" w:eastAsia="微软雅黑"/>
      <w:w w:val="100"/>
      <w:sz w:val="13"/>
      <w:szCs w:val="13"/>
      <w:shd w:val="clear"/>
    </w:rPr>
  </w:style>
  <w:style w:type="paragraph" w:customStyle="1" w:styleId="63">
    <w:name w:val="正文文本 (2)1"/>
    <w:basedOn w:val="1"/>
    <w:link w:val="61"/>
    <w:qFormat/>
    <w:uiPriority w:val="0"/>
    <w:pPr>
      <w:widowControl w:val="0"/>
      <w:shd w:val="clear" w:color="auto" w:fill="FFFFFF"/>
      <w:spacing w:after="60" w:line="0" w:lineRule="exact"/>
    </w:pPr>
    <w:rPr>
      <w:rFonts w:ascii="微软雅黑" w:hAnsi="微软雅黑" w:eastAsia="微软雅黑" w:cs="微软雅黑"/>
      <w:sz w:val="12"/>
      <w:szCs w:val="12"/>
      <w:u w:val="none"/>
    </w:rPr>
  </w:style>
  <w:style w:type="paragraph" w:customStyle="1" w:styleId="64">
    <w:name w:val="列出段落"/>
    <w:basedOn w:val="1"/>
    <w:qFormat/>
    <w:uiPriority w:val="171"/>
    <w:pPr>
      <w:wordWrap/>
      <w:autoSpaceDE/>
      <w:autoSpaceDN/>
      <w:ind w:firstLine="420"/>
      <w:jc w:val="both"/>
    </w:pPr>
    <w:rPr>
      <w:rFonts w:ascii="Times New Roman" w:hAnsi="Times New Roman" w:eastAsia="宋体"/>
      <w:w w:val="100"/>
      <w:sz w:val="21"/>
      <w:szCs w:val="21"/>
      <w:shd w:val="clear"/>
    </w:rPr>
  </w:style>
  <w:style w:type="paragraph" w:customStyle="1" w:styleId="65">
    <w:name w:val="内容"/>
    <w:qFormat/>
    <w:uiPriority w:val="172"/>
    <w:pPr>
      <w:widowControl/>
      <w:wordWrap/>
      <w:autoSpaceDE/>
      <w:autoSpaceDN/>
      <w:ind w:firstLine="480"/>
    </w:pPr>
    <w:rPr>
      <w:rFonts w:ascii="Calibri" w:hAnsi="Calibri" w:eastAsia="宋体" w:cs="宋体"/>
      <w:w w:val="100"/>
      <w:sz w:val="24"/>
      <w:szCs w:val="24"/>
      <w:shd w:val="clear"/>
    </w:rPr>
  </w:style>
  <w:style w:type="paragraph" w:customStyle="1" w:styleId="66">
    <w:name w:val="陈光的正文"/>
    <w:basedOn w:val="1"/>
    <w:qFormat/>
    <w:uiPriority w:val="173"/>
    <w:pPr>
      <w:wordWrap/>
      <w:autoSpaceDE/>
      <w:autoSpaceDN/>
      <w:ind w:firstLine="560"/>
      <w:jc w:val="both"/>
    </w:pPr>
    <w:rPr>
      <w:rFonts w:ascii="Times New Roman" w:hAnsi="Times New Roman" w:eastAsia="Times New Roman"/>
      <w:w w:val="100"/>
      <w:sz w:val="20"/>
      <w:szCs w:val="20"/>
      <w:shd w:val="clear"/>
    </w:rPr>
  </w:style>
  <w:style w:type="character" w:customStyle="1" w:styleId="67">
    <w:name w:val="标题 2 Char"/>
    <w:link w:val="6"/>
    <w:qFormat/>
    <w:uiPriority w:val="174"/>
    <w:rPr>
      <w:rFonts w:ascii="Arial" w:hAnsi="Arial" w:eastAsia="黑体"/>
      <w:b/>
      <w:w w:val="100"/>
      <w:sz w:val="32"/>
      <w:szCs w:val="32"/>
      <w:shd w:val="clear"/>
    </w:rPr>
  </w:style>
  <w:style w:type="character" w:customStyle="1" w:styleId="68">
    <w:name w:val="正文文本 (2) + Arial Narrow"/>
    <w:basedOn w:val="61"/>
    <w:qFormat/>
    <w:uiPriority w:val="175"/>
    <w:rPr>
      <w:rFonts w:ascii="Arial Narrow" w:hAnsi="Arial Narrow" w:eastAsia="Arial Narrow"/>
      <w:color w:val="000000"/>
      <w:w w:val="100"/>
      <w:sz w:val="13"/>
      <w:szCs w:val="13"/>
      <w:shd w:val="clear"/>
    </w:rPr>
  </w:style>
  <w:style w:type="character" w:customStyle="1" w:styleId="69">
    <w:name w:val="正文文本 (2) + SimSun"/>
    <w:basedOn w:val="61"/>
    <w:qFormat/>
    <w:uiPriority w:val="176"/>
    <w:rPr>
      <w:rFonts w:ascii="宋体" w:hAnsi="宋体" w:eastAsia="宋体"/>
      <w:color w:val="000000"/>
      <w:w w:val="100"/>
      <w:sz w:val="14"/>
      <w:szCs w:val="14"/>
      <w:shd w:val="clear"/>
    </w:rPr>
  </w:style>
  <w:style w:type="character" w:customStyle="1" w:styleId="70">
    <w:name w:val="正文文本 (2) + 6 pt"/>
    <w:basedOn w:val="61"/>
    <w:qFormat/>
    <w:uiPriority w:val="177"/>
    <w:rPr>
      <w:color w:val="000000"/>
      <w:w w:val="100"/>
      <w:sz w:val="12"/>
      <w:szCs w:val="12"/>
      <w:shd w:val="clear"/>
    </w:rPr>
  </w:style>
  <w:style w:type="character" w:customStyle="1" w:styleId="71">
    <w:name w:val="正文文本 (2) + 间距 1 pt"/>
    <w:basedOn w:val="61"/>
    <w:qFormat/>
    <w:uiPriority w:val="178"/>
    <w:rPr>
      <w:color w:val="000000"/>
      <w:spacing w:val="30"/>
      <w:w w:val="100"/>
      <w:sz w:val="20"/>
      <w:szCs w:val="20"/>
      <w:shd w:val="clear"/>
    </w:rPr>
  </w:style>
  <w:style w:type="character" w:customStyle="1" w:styleId="72">
    <w:name w:val="正文文本 (2) + Times New Roman"/>
    <w:basedOn w:val="61"/>
    <w:qFormat/>
    <w:uiPriority w:val="179"/>
    <w:rPr>
      <w:rFonts w:ascii="Times New Roman" w:hAnsi="Times New Roman" w:eastAsia="Times New Roman"/>
      <w:color w:val="000000"/>
      <w:w w:val="100"/>
      <w:sz w:val="20"/>
      <w:szCs w:val="20"/>
      <w:shd w:val="clear"/>
    </w:rPr>
  </w:style>
  <w:style w:type="character" w:customStyle="1" w:styleId="73">
    <w:name w:val="正文文本 (2) + 间距 -1 pt"/>
    <w:basedOn w:val="61"/>
    <w:qFormat/>
    <w:uiPriority w:val="180"/>
    <w:rPr>
      <w:color w:val="000000"/>
      <w:spacing w:val="-20"/>
      <w:w w:val="100"/>
      <w:sz w:val="13"/>
      <w:szCs w:val="13"/>
      <w:shd w:val="clear"/>
    </w:rPr>
  </w:style>
  <w:style w:type="character" w:customStyle="1" w:styleId="74">
    <w:name w:val="正文文本 (4)"/>
    <w:qFormat/>
    <w:uiPriority w:val="181"/>
    <w:rPr>
      <w:color w:val="000000"/>
      <w:w w:val="100"/>
      <w:sz w:val="20"/>
      <w:szCs w:val="20"/>
      <w:shd w:val="clear"/>
    </w:rPr>
  </w:style>
  <w:style w:type="character" w:customStyle="1" w:styleId="75">
    <w:name w:val="正文文本 (4)_"/>
    <w:basedOn w:val="35"/>
    <w:link w:val="76"/>
    <w:qFormat/>
    <w:uiPriority w:val="182"/>
    <w:rPr>
      <w:rFonts w:ascii="微软雅黑" w:hAnsi="微软雅黑" w:eastAsia="微软雅黑"/>
      <w:w w:val="100"/>
      <w:sz w:val="12"/>
      <w:szCs w:val="12"/>
      <w:u w:val="none"/>
      <w:shd w:val="clear"/>
    </w:rPr>
  </w:style>
  <w:style w:type="paragraph" w:customStyle="1" w:styleId="76">
    <w:name w:val="正文文本 (4)1"/>
    <w:basedOn w:val="1"/>
    <w:link w:val="75"/>
    <w:qFormat/>
    <w:uiPriority w:val="183"/>
    <w:pPr>
      <w:shd w:val="clear" w:color="000000" w:fill="FFFFFF"/>
      <w:wordWrap/>
      <w:autoSpaceDE/>
      <w:autoSpaceDN/>
      <w:ind w:firstLine="700"/>
    </w:pPr>
    <w:rPr>
      <w:rFonts w:ascii="微软雅黑" w:hAnsi="微软雅黑" w:eastAsia="微软雅黑"/>
      <w:w w:val="100"/>
      <w:sz w:val="12"/>
      <w:szCs w:val="12"/>
      <w:u w:val="none"/>
      <w:shd w:val="clear"/>
    </w:rPr>
  </w:style>
  <w:style w:type="character" w:customStyle="1" w:styleId="77">
    <w:name w:val="正文文本 (2) + 间距 0 pt"/>
    <w:basedOn w:val="61"/>
    <w:qFormat/>
    <w:uiPriority w:val="184"/>
    <w:rPr>
      <w:color w:val="000000"/>
      <w:spacing w:val="-10"/>
      <w:w w:val="100"/>
      <w:sz w:val="12"/>
      <w:szCs w:val="12"/>
      <w:shd w:val="clear"/>
    </w:rPr>
  </w:style>
  <w:style w:type="character" w:customStyle="1" w:styleId="78">
    <w:name w:val="font11"/>
    <w:basedOn w:val="35"/>
    <w:qFormat/>
    <w:uiPriority w:val="185"/>
    <w:rPr>
      <w:rFonts w:ascii="宋体" w:hAnsi="宋体" w:eastAsia="宋体"/>
      <w:color w:val="000000"/>
      <w:w w:val="100"/>
      <w:sz w:val="20"/>
      <w:szCs w:val="20"/>
      <w:u w:val="none"/>
      <w:shd w:val="clear"/>
    </w:rPr>
  </w:style>
  <w:style w:type="character" w:customStyle="1" w:styleId="79">
    <w:name w:val="正文文本 (4) + 间距 0 pt"/>
    <w:basedOn w:val="75"/>
    <w:qFormat/>
    <w:uiPriority w:val="186"/>
    <w:rPr>
      <w:color w:val="000000"/>
      <w:w w:val="100"/>
      <w:sz w:val="12"/>
      <w:szCs w:val="12"/>
      <w:shd w:val="clear"/>
    </w:rPr>
  </w:style>
  <w:style w:type="character" w:customStyle="1" w:styleId="80">
    <w:name w:val="正文文本 (2) + Century Schoolbook"/>
    <w:basedOn w:val="61"/>
    <w:qFormat/>
    <w:uiPriority w:val="187"/>
    <w:rPr>
      <w:rFonts w:ascii="Century Schoolbook" w:hAnsi="Century Schoolbook" w:eastAsia="Century Schoolbook"/>
      <w:color w:val="000000"/>
      <w:w w:val="100"/>
      <w:sz w:val="13"/>
      <w:szCs w:val="13"/>
      <w:shd w:val="clear"/>
    </w:rPr>
  </w:style>
  <w:style w:type="character" w:customStyle="1" w:styleId="81">
    <w:name w:val="正文文本 (3)"/>
    <w:qFormat/>
    <w:uiPriority w:val="188"/>
    <w:rPr>
      <w:color w:val="000000"/>
      <w:w w:val="100"/>
      <w:sz w:val="20"/>
      <w:szCs w:val="20"/>
      <w:shd w:val="clear"/>
    </w:rPr>
  </w:style>
  <w:style w:type="character" w:customStyle="1" w:styleId="82">
    <w:name w:val="正文文本 (3)_"/>
    <w:basedOn w:val="35"/>
    <w:link w:val="83"/>
    <w:qFormat/>
    <w:uiPriority w:val="189"/>
    <w:rPr>
      <w:rFonts w:ascii="微软雅黑" w:hAnsi="微软雅黑" w:eastAsia="微软雅黑"/>
      <w:w w:val="100"/>
      <w:sz w:val="12"/>
      <w:szCs w:val="12"/>
      <w:u w:val="none"/>
      <w:shd w:val="clear"/>
    </w:rPr>
  </w:style>
  <w:style w:type="paragraph" w:customStyle="1" w:styleId="83">
    <w:name w:val="正文文本 (3)1"/>
    <w:basedOn w:val="1"/>
    <w:link w:val="82"/>
    <w:qFormat/>
    <w:uiPriority w:val="190"/>
    <w:pPr>
      <w:shd w:val="clear" w:color="000000" w:fill="FFFFFF"/>
      <w:wordWrap/>
      <w:autoSpaceDE/>
      <w:autoSpaceDN/>
      <w:ind w:firstLine="240"/>
      <w:jc w:val="distribute"/>
    </w:pPr>
    <w:rPr>
      <w:rFonts w:ascii="微软雅黑" w:hAnsi="微软雅黑" w:eastAsia="微软雅黑"/>
      <w:w w:val="100"/>
      <w:sz w:val="12"/>
      <w:szCs w:val="12"/>
      <w:u w:val="none"/>
      <w:shd w:val="clear"/>
    </w:rPr>
  </w:style>
  <w:style w:type="character" w:customStyle="1" w:styleId="84">
    <w:name w:val="正文文本 (3) + Times New Roman"/>
    <w:basedOn w:val="82"/>
    <w:qFormat/>
    <w:uiPriority w:val="191"/>
    <w:rPr>
      <w:rFonts w:ascii="Times New Roman" w:hAnsi="Times New Roman" w:eastAsia="Times New Roman"/>
      <w:color w:val="000000"/>
      <w:w w:val="100"/>
      <w:sz w:val="14"/>
      <w:szCs w:val="14"/>
      <w:shd w:val="clear"/>
    </w:rPr>
  </w:style>
  <w:style w:type="character" w:customStyle="1" w:styleId="85">
    <w:name w:val="正文文本 (2) + 粗体"/>
    <w:basedOn w:val="61"/>
    <w:qFormat/>
    <w:uiPriority w:val="192"/>
    <w:rPr>
      <w:b/>
      <w:color w:val="000000"/>
      <w:w w:val="100"/>
      <w:sz w:val="20"/>
      <w:szCs w:val="20"/>
      <w:shd w:val="clear"/>
    </w:rPr>
  </w:style>
  <w:style w:type="paragraph" w:customStyle="1" w:styleId="86">
    <w:name w:val="标题 #1"/>
    <w:basedOn w:val="1"/>
    <w:link w:val="88"/>
    <w:qFormat/>
    <w:uiPriority w:val="0"/>
    <w:pPr>
      <w:widowControl w:val="0"/>
      <w:shd w:val="clear" w:color="auto" w:fill="FFFFFF"/>
      <w:spacing w:line="277" w:lineRule="exact"/>
      <w:jc w:val="distribute"/>
      <w:outlineLvl w:val="0"/>
    </w:pPr>
    <w:rPr>
      <w:rFonts w:ascii="微软雅黑" w:hAnsi="微软雅黑" w:eastAsia="微软雅黑" w:cs="微软雅黑"/>
      <w:sz w:val="13"/>
      <w:szCs w:val="13"/>
      <w:u w:val="none"/>
    </w:rPr>
  </w:style>
  <w:style w:type="character" w:customStyle="1" w:styleId="87">
    <w:name w:val="标题 #1 + Times New Roman"/>
    <w:basedOn w:val="88"/>
    <w:qFormat/>
    <w:uiPriority w:val="0"/>
    <w:rPr>
      <w:rFonts w:ascii="Times New Roman" w:hAnsi="Times New Roman" w:eastAsia="Times New Roman" w:cs="Times New Roman"/>
      <w:i/>
      <w:iCs/>
      <w:color w:val="000000"/>
      <w:spacing w:val="0"/>
      <w:w w:val="100"/>
      <w:position w:val="0"/>
      <w:sz w:val="8"/>
      <w:szCs w:val="8"/>
      <w:lang w:val="zh-CN" w:eastAsia="zh-CN" w:bidi="zh-CN"/>
    </w:rPr>
  </w:style>
  <w:style w:type="character" w:customStyle="1" w:styleId="88">
    <w:name w:val="标题 #1_"/>
    <w:basedOn w:val="35"/>
    <w:link w:val="86"/>
    <w:qFormat/>
    <w:uiPriority w:val="0"/>
    <w:rPr>
      <w:rFonts w:ascii="微软雅黑" w:hAnsi="微软雅黑" w:eastAsia="微软雅黑" w:cs="微软雅黑"/>
      <w:sz w:val="13"/>
      <w:szCs w:val="13"/>
      <w:u w:val="none"/>
    </w:rPr>
  </w:style>
  <w:style w:type="paragraph" w:customStyle="1" w:styleId="89">
    <w:name w:val="页眉或页脚1"/>
    <w:basedOn w:val="1"/>
    <w:link w:val="91"/>
    <w:qFormat/>
    <w:uiPriority w:val="0"/>
    <w:pPr>
      <w:widowControl w:val="0"/>
      <w:shd w:val="clear" w:color="auto" w:fill="FFFFFF"/>
      <w:spacing w:line="0" w:lineRule="exact"/>
    </w:pPr>
    <w:rPr>
      <w:rFonts w:ascii="Times New Roman" w:hAnsi="Times New Roman" w:eastAsia="Times New Roman" w:cs="Times New Roman"/>
      <w:spacing w:val="0"/>
      <w:sz w:val="12"/>
      <w:szCs w:val="12"/>
      <w:u w:val="none"/>
      <w:lang w:val="en-US" w:eastAsia="en-US" w:bidi="en-US"/>
    </w:rPr>
  </w:style>
  <w:style w:type="character" w:customStyle="1" w:styleId="90">
    <w:name w:val="页眉或页脚"/>
    <w:basedOn w:val="91"/>
    <w:qFormat/>
    <w:uiPriority w:val="0"/>
    <w:rPr>
      <w:color w:val="000000"/>
      <w:w w:val="100"/>
      <w:position w:val="0"/>
    </w:rPr>
  </w:style>
  <w:style w:type="character" w:customStyle="1" w:styleId="91">
    <w:name w:val="页眉或页脚_"/>
    <w:basedOn w:val="35"/>
    <w:link w:val="89"/>
    <w:qFormat/>
    <w:uiPriority w:val="0"/>
    <w:rPr>
      <w:rFonts w:ascii="Times New Roman" w:hAnsi="Times New Roman" w:eastAsia="Times New Roman" w:cs="Times New Roman"/>
      <w:spacing w:val="0"/>
      <w:sz w:val="12"/>
      <w:szCs w:val="12"/>
      <w:u w:val="none"/>
      <w:lang w:val="en-US" w:eastAsia="en-US" w:bidi="en-US"/>
    </w:rPr>
  </w:style>
  <w:style w:type="paragraph" w:customStyle="1" w:styleId="92">
    <w:name w:val="正文文本 (8)"/>
    <w:basedOn w:val="1"/>
    <w:link w:val="94"/>
    <w:qFormat/>
    <w:uiPriority w:val="0"/>
    <w:pPr>
      <w:widowControl w:val="0"/>
      <w:shd w:val="clear" w:color="auto" w:fill="FFFFFF"/>
      <w:spacing w:before="60" w:after="180" w:line="0" w:lineRule="exact"/>
    </w:pPr>
    <w:rPr>
      <w:rFonts w:ascii="微软雅黑" w:hAnsi="微软雅黑" w:eastAsia="微软雅黑" w:cs="微软雅黑"/>
      <w:sz w:val="11"/>
      <w:szCs w:val="11"/>
      <w:u w:val="none"/>
    </w:rPr>
  </w:style>
  <w:style w:type="character" w:customStyle="1" w:styleId="93">
    <w:name w:val="正文文本 (8) + Arial Unicode MS"/>
    <w:basedOn w:val="94"/>
    <w:qFormat/>
    <w:uiPriority w:val="0"/>
    <w:rPr>
      <w:rFonts w:ascii="Arial Unicode MS" w:hAnsi="Arial Unicode MS" w:eastAsia="Arial Unicode MS" w:cs="Arial Unicode MS"/>
      <w:color w:val="000000"/>
      <w:spacing w:val="0"/>
      <w:w w:val="100"/>
      <w:position w:val="0"/>
      <w:sz w:val="12"/>
      <w:szCs w:val="12"/>
      <w:lang w:val="en-US" w:eastAsia="en-US" w:bidi="en-US"/>
    </w:rPr>
  </w:style>
  <w:style w:type="character" w:customStyle="1" w:styleId="94">
    <w:name w:val="正文文本 (8)_"/>
    <w:basedOn w:val="35"/>
    <w:link w:val="92"/>
    <w:qFormat/>
    <w:uiPriority w:val="0"/>
    <w:rPr>
      <w:rFonts w:ascii="微软雅黑" w:hAnsi="微软雅黑" w:eastAsia="微软雅黑" w:cs="微软雅黑"/>
      <w:sz w:val="11"/>
      <w:szCs w:val="11"/>
      <w:u w:val="none"/>
    </w:rPr>
  </w:style>
  <w:style w:type="character" w:customStyle="1" w:styleId="95">
    <w:name w:val="正文文本 (8) + 间距 0 pt"/>
    <w:basedOn w:val="94"/>
    <w:qFormat/>
    <w:uiPriority w:val="0"/>
    <w:rPr>
      <w:color w:val="000000"/>
      <w:spacing w:val="-10"/>
      <w:w w:val="100"/>
      <w:position w:val="0"/>
      <w:sz w:val="11"/>
      <w:szCs w:val="11"/>
      <w:lang w:val="en-US" w:eastAsia="en-US" w:bidi="en-US"/>
    </w:rPr>
  </w:style>
  <w:style w:type="paragraph" w:customStyle="1" w:styleId="96">
    <w:name w:val="正文文本 (5)"/>
    <w:basedOn w:val="1"/>
    <w:link w:val="98"/>
    <w:qFormat/>
    <w:uiPriority w:val="0"/>
    <w:pPr>
      <w:widowControl w:val="0"/>
      <w:shd w:val="clear" w:color="auto" w:fill="FFFFFF"/>
      <w:spacing w:line="0" w:lineRule="exact"/>
      <w:jc w:val="both"/>
    </w:pPr>
    <w:rPr>
      <w:rFonts w:ascii="微软雅黑" w:hAnsi="微软雅黑" w:eastAsia="微软雅黑" w:cs="微软雅黑"/>
      <w:sz w:val="13"/>
      <w:szCs w:val="13"/>
      <w:u w:val="none"/>
    </w:rPr>
  </w:style>
  <w:style w:type="character" w:customStyle="1" w:styleId="97">
    <w:name w:val="正文文本 (5) + 6 pt"/>
    <w:basedOn w:val="98"/>
    <w:qFormat/>
    <w:uiPriority w:val="0"/>
    <w:rPr>
      <w:color w:val="000000"/>
      <w:spacing w:val="-10"/>
      <w:w w:val="100"/>
      <w:position w:val="0"/>
      <w:sz w:val="12"/>
      <w:szCs w:val="12"/>
      <w:lang w:val="en-US" w:eastAsia="en-US" w:bidi="en-US"/>
    </w:rPr>
  </w:style>
  <w:style w:type="character" w:customStyle="1" w:styleId="98">
    <w:name w:val="正文文本 (5)_"/>
    <w:basedOn w:val="35"/>
    <w:link w:val="96"/>
    <w:qFormat/>
    <w:uiPriority w:val="0"/>
    <w:rPr>
      <w:rFonts w:ascii="微软雅黑" w:hAnsi="微软雅黑" w:eastAsia="微软雅黑" w:cs="微软雅黑"/>
      <w:sz w:val="13"/>
      <w:szCs w:val="13"/>
      <w:u w:val="none"/>
    </w:rPr>
  </w:style>
  <w:style w:type="character" w:customStyle="1" w:styleId="99">
    <w:name w:val="正文文本 (5) + Arial Unicode MS"/>
    <w:basedOn w:val="98"/>
    <w:qFormat/>
    <w:uiPriority w:val="0"/>
    <w:rPr>
      <w:rFonts w:ascii="Arial Unicode MS" w:hAnsi="Arial Unicode MS" w:eastAsia="Arial Unicode MS" w:cs="Arial Unicode MS"/>
      <w:color w:val="000000"/>
      <w:spacing w:val="0"/>
      <w:w w:val="100"/>
      <w:position w:val="0"/>
      <w:sz w:val="12"/>
      <w:szCs w:val="12"/>
      <w:lang w:val="en-US" w:eastAsia="en-US" w:bidi="en-US"/>
    </w:rPr>
  </w:style>
  <w:style w:type="character" w:customStyle="1" w:styleId="100">
    <w:name w:val="正文文本 (5) Exact"/>
    <w:basedOn w:val="35"/>
    <w:qFormat/>
    <w:uiPriority w:val="0"/>
    <w:rPr>
      <w:rFonts w:ascii="微软雅黑" w:hAnsi="微软雅黑" w:eastAsia="微软雅黑" w:cs="微软雅黑"/>
      <w:sz w:val="13"/>
      <w:szCs w:val="13"/>
      <w:u w:val="none"/>
    </w:rPr>
  </w:style>
  <w:style w:type="paragraph" w:customStyle="1" w:styleId="101">
    <w:name w:val="正文文本 (9)"/>
    <w:basedOn w:val="1"/>
    <w:qFormat/>
    <w:uiPriority w:val="0"/>
    <w:pPr>
      <w:widowControl w:val="0"/>
      <w:shd w:val="clear" w:color="auto" w:fill="FFFFFF"/>
      <w:spacing w:line="0" w:lineRule="exact"/>
    </w:pPr>
    <w:rPr>
      <w:rFonts w:ascii="微软雅黑" w:hAnsi="微软雅黑" w:eastAsia="微软雅黑" w:cs="微软雅黑"/>
      <w:i/>
      <w:iCs/>
      <w:spacing w:val="-10"/>
      <w:sz w:val="13"/>
      <w:szCs w:val="13"/>
      <w:u w:val="none"/>
      <w:lang w:val="en-US" w:eastAsia="en-US" w:bidi="en-US"/>
    </w:rPr>
  </w:style>
  <w:style w:type="paragraph" w:customStyle="1" w:styleId="102">
    <w:name w:val="正文文本 (10)"/>
    <w:basedOn w:val="1"/>
    <w:link w:val="104"/>
    <w:qFormat/>
    <w:uiPriority w:val="0"/>
    <w:pPr>
      <w:widowControl w:val="0"/>
      <w:shd w:val="clear" w:color="auto" w:fill="FFFFFF"/>
      <w:spacing w:before="60" w:line="217" w:lineRule="exact"/>
      <w:jc w:val="distribute"/>
    </w:pPr>
    <w:rPr>
      <w:rFonts w:ascii="微软雅黑" w:hAnsi="微软雅黑" w:eastAsia="微软雅黑" w:cs="微软雅黑"/>
      <w:spacing w:val="20"/>
      <w:sz w:val="11"/>
      <w:szCs w:val="11"/>
      <w:u w:val="none"/>
    </w:rPr>
  </w:style>
  <w:style w:type="character" w:customStyle="1" w:styleId="103">
    <w:name w:val="正文文本 (10) + 间距 1 pt"/>
    <w:basedOn w:val="104"/>
    <w:qFormat/>
    <w:uiPriority w:val="0"/>
    <w:rPr>
      <w:color w:val="000000"/>
      <w:spacing w:val="30"/>
      <w:w w:val="100"/>
      <w:position w:val="0"/>
      <w:lang w:val="zh-CN" w:eastAsia="zh-CN" w:bidi="zh-CN"/>
    </w:rPr>
  </w:style>
  <w:style w:type="character" w:customStyle="1" w:styleId="104">
    <w:name w:val="正文文本 (10)_"/>
    <w:basedOn w:val="35"/>
    <w:link w:val="102"/>
    <w:qFormat/>
    <w:uiPriority w:val="0"/>
    <w:rPr>
      <w:rFonts w:ascii="微软雅黑" w:hAnsi="微软雅黑" w:eastAsia="微软雅黑" w:cs="微软雅黑"/>
      <w:spacing w:val="20"/>
      <w:sz w:val="11"/>
      <w:szCs w:val="11"/>
      <w:u w:val="none"/>
    </w:rPr>
  </w:style>
  <w:style w:type="character" w:customStyle="1" w:styleId="105">
    <w:name w:val="正文文本 (10) + 5 pt"/>
    <w:basedOn w:val="104"/>
    <w:qFormat/>
    <w:uiPriority w:val="0"/>
    <w:rPr>
      <w:color w:val="000000"/>
      <w:spacing w:val="0"/>
      <w:w w:val="100"/>
      <w:position w:val="0"/>
      <w:sz w:val="10"/>
      <w:szCs w:val="10"/>
      <w:lang w:val="en-US" w:eastAsia="en-US" w:bidi="en-US"/>
    </w:rPr>
  </w:style>
  <w:style w:type="character" w:customStyle="1" w:styleId="106">
    <w:name w:val="正文文本 (10) + 间距 0 pt"/>
    <w:basedOn w:val="104"/>
    <w:qFormat/>
    <w:uiPriority w:val="0"/>
    <w:rPr>
      <w:color w:val="000000"/>
      <w:spacing w:val="0"/>
      <w:w w:val="100"/>
      <w:position w:val="0"/>
      <w:sz w:val="11"/>
      <w:szCs w:val="11"/>
      <w:lang w:val="en-US" w:eastAsia="en-US" w:bidi="en-US"/>
    </w:rPr>
  </w:style>
  <w:style w:type="paragraph" w:customStyle="1" w:styleId="107">
    <w:name w:val="正文文本 (7)"/>
    <w:basedOn w:val="1"/>
    <w:link w:val="109"/>
    <w:qFormat/>
    <w:uiPriority w:val="0"/>
    <w:pPr>
      <w:widowControl w:val="0"/>
      <w:shd w:val="clear" w:color="auto" w:fill="FFFFFF"/>
      <w:spacing w:before="60" w:after="60" w:line="296" w:lineRule="exact"/>
      <w:jc w:val="distribute"/>
    </w:pPr>
    <w:rPr>
      <w:rFonts w:ascii="微软雅黑" w:hAnsi="微软雅黑" w:eastAsia="微软雅黑" w:cs="微软雅黑"/>
      <w:b/>
      <w:bCs/>
      <w:sz w:val="13"/>
      <w:szCs w:val="13"/>
      <w:u w:val="none"/>
    </w:rPr>
  </w:style>
  <w:style w:type="character" w:customStyle="1" w:styleId="108">
    <w:name w:val="正文文本 (7) + 6 pt"/>
    <w:basedOn w:val="109"/>
    <w:qFormat/>
    <w:uiPriority w:val="0"/>
    <w:rPr>
      <w:color w:val="000000"/>
      <w:spacing w:val="0"/>
      <w:w w:val="100"/>
      <w:position w:val="0"/>
      <w:sz w:val="12"/>
      <w:szCs w:val="12"/>
      <w:lang w:val="zh-CN" w:eastAsia="zh-CN" w:bidi="zh-CN"/>
    </w:rPr>
  </w:style>
  <w:style w:type="character" w:customStyle="1" w:styleId="109">
    <w:name w:val="正文文本 (7)_"/>
    <w:basedOn w:val="35"/>
    <w:link w:val="107"/>
    <w:qFormat/>
    <w:uiPriority w:val="0"/>
    <w:rPr>
      <w:rFonts w:ascii="微软雅黑" w:hAnsi="微软雅黑" w:eastAsia="微软雅黑" w:cs="微软雅黑"/>
      <w:b/>
      <w:bCs/>
      <w:sz w:val="13"/>
      <w:szCs w:val="13"/>
      <w:u w:val="none"/>
    </w:rPr>
  </w:style>
  <w:style w:type="character" w:customStyle="1" w:styleId="110">
    <w:name w:val="正文文本 (2) + 6.5 pt"/>
    <w:basedOn w:val="61"/>
    <w:qFormat/>
    <w:uiPriority w:val="0"/>
    <w:rPr>
      <w:b/>
      <w:bCs/>
      <w:color w:val="000000"/>
      <w:spacing w:val="0"/>
      <w:w w:val="100"/>
      <w:position w:val="0"/>
      <w:sz w:val="13"/>
      <w:szCs w:val="13"/>
      <w:lang w:val="zh-CN" w:eastAsia="zh-CN" w:bidi="zh-CN"/>
    </w:rPr>
  </w:style>
  <w:style w:type="character" w:customStyle="1" w:styleId="111">
    <w:name w:val="正文文本 (2) + 10 pt"/>
    <w:basedOn w:val="61"/>
    <w:qFormat/>
    <w:uiPriority w:val="0"/>
    <w:rPr>
      <w:color w:val="000000"/>
      <w:spacing w:val="0"/>
      <w:w w:val="100"/>
      <w:position w:val="0"/>
      <w:sz w:val="20"/>
      <w:szCs w:val="20"/>
      <w:lang w:val="en-US" w:eastAsia="en-US" w:bidi="en-US"/>
    </w:rPr>
  </w:style>
  <w:style w:type="character" w:customStyle="1" w:styleId="112">
    <w:name w:val="正文文本 (4) + 5 pt"/>
    <w:basedOn w:val="75"/>
    <w:qFormat/>
    <w:uiPriority w:val="0"/>
    <w:rPr>
      <w:color w:val="000000"/>
      <w:spacing w:val="0"/>
      <w:w w:val="100"/>
      <w:position w:val="0"/>
      <w:sz w:val="10"/>
      <w:szCs w:val="10"/>
      <w:lang w:val="zh-CN" w:eastAsia="zh-CN" w:bidi="zh-CN"/>
    </w:rPr>
  </w:style>
  <w:style w:type="character" w:customStyle="1" w:styleId="113">
    <w:name w:val="正文文本 (4) + 7 pt"/>
    <w:basedOn w:val="75"/>
    <w:qFormat/>
    <w:uiPriority w:val="0"/>
    <w:rPr>
      <w:b/>
      <w:bCs/>
      <w:color w:val="000000"/>
      <w:spacing w:val="-10"/>
      <w:w w:val="100"/>
      <w:position w:val="0"/>
      <w:sz w:val="14"/>
      <w:szCs w:val="14"/>
      <w:lang w:val="en-US" w:eastAsia="en-US" w:bidi="en-US"/>
    </w:rPr>
  </w:style>
  <w:style w:type="character" w:customStyle="1" w:styleId="114">
    <w:name w:val="正文文本 (5) + 10 pt"/>
    <w:basedOn w:val="98"/>
    <w:qFormat/>
    <w:uiPriority w:val="0"/>
    <w:rPr>
      <w:color w:val="000000"/>
      <w:spacing w:val="150"/>
      <w:w w:val="100"/>
      <w:position w:val="0"/>
      <w:sz w:val="20"/>
      <w:szCs w:val="20"/>
      <w:lang w:val="zh-CN" w:eastAsia="zh-CN" w:bidi="zh-CN"/>
    </w:rPr>
  </w:style>
  <w:style w:type="character" w:customStyle="1" w:styleId="115">
    <w:name w:val="正文文本 (5) + 间距 3 pt"/>
    <w:basedOn w:val="98"/>
    <w:qFormat/>
    <w:uiPriority w:val="0"/>
    <w:rPr>
      <w:color w:val="000000"/>
      <w:spacing w:val="60"/>
      <w:w w:val="100"/>
      <w:position w:val="0"/>
      <w:lang w:val="zh-CN" w:eastAsia="zh-CN" w:bidi="zh-CN"/>
    </w:rPr>
  </w:style>
  <w:style w:type="character" w:customStyle="1" w:styleId="116">
    <w:name w:val="正文文本 (5) + 间距 4 pt"/>
    <w:basedOn w:val="98"/>
    <w:qFormat/>
    <w:uiPriority w:val="0"/>
    <w:rPr>
      <w:color w:val="000000"/>
      <w:spacing w:val="90"/>
      <w:w w:val="100"/>
      <w:position w:val="0"/>
      <w:lang w:val="zh-CN" w:eastAsia="zh-CN" w:bidi="zh-CN"/>
    </w:rPr>
  </w:style>
  <w:style w:type="character" w:customStyle="1" w:styleId="117">
    <w:name w:val="正文文本 (5) + Book Antiqua"/>
    <w:basedOn w:val="98"/>
    <w:qFormat/>
    <w:uiPriority w:val="0"/>
    <w:rPr>
      <w:rFonts w:ascii="Book Antiqua" w:hAnsi="Book Antiqua" w:eastAsia="Book Antiqua" w:cs="Book Antiqua"/>
      <w:color w:val="000000"/>
      <w:spacing w:val="0"/>
      <w:w w:val="100"/>
      <w:position w:val="0"/>
      <w:sz w:val="15"/>
      <w:szCs w:val="15"/>
      <w:lang w:val="en-US" w:eastAsia="en-US" w:bidi="en-US"/>
    </w:rPr>
  </w:style>
  <w:style w:type="paragraph" w:customStyle="1" w:styleId="118">
    <w:name w:val="正文文本 (6)"/>
    <w:basedOn w:val="1"/>
    <w:qFormat/>
    <w:uiPriority w:val="0"/>
    <w:pPr>
      <w:widowControl w:val="0"/>
      <w:shd w:val="clear" w:color="auto" w:fill="FFFFFF"/>
      <w:spacing w:line="0" w:lineRule="exact"/>
      <w:jc w:val="both"/>
    </w:pPr>
    <w:rPr>
      <w:rFonts w:ascii="微软雅黑" w:hAnsi="微软雅黑" w:eastAsia="微软雅黑" w:cs="微软雅黑"/>
      <w:i/>
      <w:iCs/>
      <w:spacing w:val="20"/>
      <w:w w:val="70"/>
      <w:sz w:val="14"/>
      <w:szCs w:val="14"/>
      <w:u w:val="none"/>
    </w:rPr>
  </w:style>
  <w:style w:type="character" w:customStyle="1" w:styleId="119">
    <w:name w:val="正文文本 (3) + Book Antiqua"/>
    <w:basedOn w:val="120"/>
    <w:qFormat/>
    <w:uiPriority w:val="0"/>
    <w:rPr>
      <w:rFonts w:ascii="Book Antiqua" w:hAnsi="Book Antiqua" w:eastAsia="Book Antiqua" w:cs="Book Antiqua"/>
      <w:b/>
      <w:bCs/>
      <w:color w:val="000000"/>
      <w:spacing w:val="0"/>
      <w:w w:val="100"/>
      <w:position w:val="0"/>
      <w:sz w:val="24"/>
      <w:szCs w:val="24"/>
      <w:lang w:val="en-US" w:eastAsia="en-US" w:bidi="en-US"/>
    </w:rPr>
  </w:style>
  <w:style w:type="character" w:customStyle="1" w:styleId="120">
    <w:name w:val="正文文本 (3) Exact"/>
    <w:basedOn w:val="35"/>
    <w:qFormat/>
    <w:uiPriority w:val="0"/>
    <w:rPr>
      <w:rFonts w:ascii="微软雅黑" w:hAnsi="微软雅黑" w:eastAsia="微软雅黑" w:cs="微软雅黑"/>
      <w:sz w:val="12"/>
      <w:szCs w:val="12"/>
      <w:u w:val="none"/>
    </w:rPr>
  </w:style>
  <w:style w:type="character" w:customStyle="1" w:styleId="121">
    <w:name w:val="正文文本 (3) + 间距 9 pt Exact"/>
    <w:basedOn w:val="120"/>
    <w:qFormat/>
    <w:uiPriority w:val="0"/>
    <w:rPr>
      <w:color w:val="000000"/>
      <w:spacing w:val="180"/>
      <w:w w:val="100"/>
      <w:position w:val="0"/>
      <w:lang w:val="zh-CN" w:eastAsia="zh-CN" w:bidi="zh-CN"/>
    </w:rPr>
  </w:style>
  <w:style w:type="character" w:customStyle="1" w:styleId="122">
    <w:name w:val="正文文本 (3) + 间距 1 pt Exact"/>
    <w:basedOn w:val="120"/>
    <w:qFormat/>
    <w:uiPriority w:val="0"/>
    <w:rPr>
      <w:color w:val="000000"/>
      <w:spacing w:val="30"/>
      <w:w w:val="100"/>
      <w:position w:val="0"/>
      <w:lang w:val="zh-CN" w:eastAsia="zh-CN" w:bidi="zh-CN"/>
    </w:rPr>
  </w:style>
  <w:style w:type="paragraph" w:customStyle="1" w:styleId="123">
    <w:name w:val="表内"/>
    <w:qFormat/>
    <w:uiPriority w:val="0"/>
    <w:pPr>
      <w:jc w:val="center"/>
    </w:pPr>
    <w:rPr>
      <w:rFonts w:ascii="Times New Roman" w:hAnsi="Times New Roman" w:eastAsia="宋体" w:cs="宋体"/>
      <w:kern w:val="2"/>
      <w:sz w:val="21"/>
      <w:lang w:val="en-US" w:eastAsia="zh-CN" w:bidi="ar-SA"/>
    </w:rPr>
  </w:style>
  <w:style w:type="paragraph" w:customStyle="1" w:styleId="124">
    <w:name w:val="表样式2"/>
    <w:basedOn w:val="1"/>
    <w:qFormat/>
    <w:uiPriority w:val="0"/>
    <w:pPr>
      <w:adjustRightInd w:val="0"/>
      <w:snapToGrid w:val="0"/>
      <w:spacing w:line="420" w:lineRule="exact"/>
    </w:pPr>
    <w:rPr>
      <w:rFonts w:ascii="宋体" w:hAnsi="宋体"/>
      <w:sz w:val="24"/>
      <w:szCs w:val="24"/>
    </w:rPr>
  </w:style>
  <w:style w:type="character" w:customStyle="1" w:styleId="125">
    <w:name w:val="fontstyle01"/>
    <w:qFormat/>
    <w:uiPriority w:val="0"/>
    <w:rPr>
      <w:rFonts w:hint="default" w:ascii="SSJ-PK74820002705-Identity-H" w:hAnsi="SSJ-PK74820002705-Identity-H"/>
      <w:color w:val="000000"/>
      <w:sz w:val="40"/>
      <w:szCs w:val="40"/>
    </w:rPr>
  </w:style>
  <w:style w:type="paragraph" w:customStyle="1" w:styleId="126">
    <w:name w:val="报告表"/>
    <w:basedOn w:val="1"/>
    <w:uiPriority w:val="0"/>
    <w:pPr>
      <w:spacing w:line="500" w:lineRule="exact"/>
      <w:ind w:firstLine="480" w:firstLineChars="200"/>
    </w:pPr>
    <w:rPr>
      <w:rFonts w:ascii="宋体"/>
      <w:sz w:val="24"/>
      <w:szCs w:val="24"/>
    </w:rPr>
  </w:style>
  <w:style w:type="paragraph" w:customStyle="1" w:styleId="127">
    <w:name w:val="表段1"/>
    <w:basedOn w:val="1"/>
    <w:qFormat/>
    <w:uiPriority w:val="0"/>
    <w:pPr>
      <w:adjustRightInd w:val="0"/>
      <w:snapToGrid w:val="0"/>
      <w:spacing w:line="360" w:lineRule="auto"/>
      <w:ind w:firstLine="200" w:firstLineChars="200"/>
    </w:pPr>
    <w:rPr>
      <w:sz w:val="24"/>
      <w:szCs w:val="24"/>
    </w:rPr>
  </w:style>
  <w:style w:type="paragraph" w:customStyle="1" w:styleId="128">
    <w:name w:val="正文 首行缩进:  2 字符"/>
    <w:basedOn w:val="1"/>
    <w:qFormat/>
    <w:uiPriority w:val="0"/>
    <w:pPr>
      <w:adjustRightInd w:val="0"/>
      <w:snapToGrid w:val="0"/>
      <w:spacing w:line="500" w:lineRule="exact"/>
      <w:ind w:firstLine="200" w:firstLineChars="200"/>
      <w:jc w:val="left"/>
    </w:pPr>
    <w:rPr>
      <w:sz w:val="24"/>
    </w:rPr>
  </w:style>
  <w:style w:type="paragraph" w:customStyle="1" w:styleId="129">
    <w:name w:val="1111"/>
    <w:basedOn w:val="1"/>
    <w:qFormat/>
    <w:uiPriority w:val="0"/>
    <w:pPr>
      <w:widowControl/>
      <w:adjustRightInd w:val="0"/>
      <w:snapToGrid w:val="0"/>
      <w:spacing w:line="360" w:lineRule="auto"/>
      <w:ind w:firstLine="200" w:firstLineChars="200"/>
    </w:pPr>
    <w:rPr>
      <w:kern w:val="0"/>
      <w:sz w:val="24"/>
      <w:szCs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11574</Words>
  <Characters>15003</Characters>
  <Lines>0</Lines>
  <Paragraphs>0</Paragraphs>
  <TotalTime>29</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2019-06-03T02:50:00Z</dcterms:created>
  <dc:creator>Lenovo、</dc:creator>
  <cp:lastModifiedBy>A～珠江骏景王浩13391873212</cp:lastModifiedBy>
  <dcterms:modified xsi:type="dcterms:W3CDTF">2019-12-16T00:49:26Z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